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04"/>
        <w:gridCol w:w="254"/>
        <w:gridCol w:w="255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57"/>
        <w:gridCol w:w="1171"/>
        <w:gridCol w:w="709"/>
        <w:gridCol w:w="757"/>
        <w:gridCol w:w="2503"/>
        <w:gridCol w:w="78"/>
      </w:tblGrid>
      <w:tr w:rsidR="00095534" w:rsidRPr="00113A66" w14:paraId="2E5EA470" w14:textId="77777777" w:rsidTr="00937FD0">
        <w:trPr>
          <w:trHeight w:val="20"/>
        </w:trPr>
        <w:tc>
          <w:tcPr>
            <w:tcW w:w="3542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13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E35B93" w14:paraId="51DF2F5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4" w:type="dxa"/>
          <w:wAfter w:w="78" w:type="dxa"/>
          <w:trHeight w:val="513"/>
        </w:trPr>
        <w:tc>
          <w:tcPr>
            <w:tcW w:w="10244" w:type="dxa"/>
            <w:gridSpan w:val="2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485925E7" w:rsidR="00396FB1" w:rsidRPr="000F4197" w:rsidRDefault="00403A3E" w:rsidP="00396FB1">
            <w:pPr>
              <w:pStyle w:val="1"/>
              <w:spacing w:before="0"/>
              <w:jc w:val="center"/>
              <w:rPr>
                <w:lang w:val="en-US"/>
              </w:rPr>
            </w:pPr>
            <w:bookmarkStart w:id="0" w:name="_Toc8811050"/>
            <w:bookmarkStart w:id="1" w:name="_Toc11759055"/>
            <w:r w:rsidRPr="000745D5">
              <w:rPr>
                <w:lang w:val="en-US"/>
              </w:rPr>
              <w:t>Application for chang</w:t>
            </w:r>
            <w:r w:rsidR="000745D5" w:rsidRPr="000F4197">
              <w:rPr>
                <w:lang w:val="en-US"/>
              </w:rPr>
              <w:t xml:space="preserve">ing </w:t>
            </w:r>
            <w:r w:rsidR="001B3463" w:rsidRPr="000F4197">
              <w:rPr>
                <w:lang w:val="en-US"/>
              </w:rPr>
              <w:t xml:space="preserve">the </w:t>
            </w:r>
            <w:r w:rsidR="000745D5">
              <w:rPr>
                <w:lang w:val="en-US"/>
              </w:rPr>
              <w:t>Schedule of Tariffs</w:t>
            </w:r>
            <w:r w:rsidRPr="000745D5">
              <w:rPr>
                <w:lang w:val="en-US"/>
              </w:rPr>
              <w:t xml:space="preserve"> </w:t>
            </w:r>
            <w:r w:rsidR="000745D5" w:rsidRPr="000F4197">
              <w:rPr>
                <w:lang w:val="en-US"/>
              </w:rPr>
              <w:t>with</w:t>
            </w:r>
            <w:r w:rsidRPr="000745D5">
              <w:rPr>
                <w:lang w:val="en-US"/>
              </w:rPr>
              <w:t xml:space="preserve"> LLC “Bank 131”</w:t>
            </w:r>
            <w:bookmarkEnd w:id="0"/>
            <w:bookmarkEnd w:id="1"/>
          </w:p>
        </w:tc>
      </w:tr>
      <w:tr w:rsidR="001A2799" w:rsidRPr="00ED79EB" w14:paraId="7E1BCD6F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09C3362" w:rsidR="00AE6423" w:rsidRPr="00ED79EB" w:rsidRDefault="00403A3E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 DATA</w:t>
            </w:r>
          </w:p>
        </w:tc>
      </w:tr>
      <w:tr w:rsidR="001A2799" w:rsidRPr="009E00F6" w14:paraId="55F8D46A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E35B93" w14:paraId="1C3D6683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2F2F2"/>
            <w:vAlign w:val="center"/>
          </w:tcPr>
          <w:p w14:paraId="45F9D3C1" w14:textId="2A77A4E4" w:rsidR="00AE6423" w:rsidRPr="000F4197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0F4197">
              <w:rPr>
                <w:i/>
                <w:sz w:val="16"/>
                <w:szCs w:val="16"/>
                <w:lang w:val="en-US"/>
              </w:rPr>
              <w:t>(</w:t>
            </w:r>
            <w:r w:rsidR="00403A3E" w:rsidRPr="002D77C4">
              <w:rPr>
                <w:i/>
                <w:sz w:val="16"/>
                <w:szCs w:val="16"/>
                <w:lang w:val="en-US"/>
              </w:rPr>
              <w:t>full name of the legal entity/individual entrepreneur/lawyer/notary</w:t>
            </w:r>
            <w:r w:rsidR="00403A3E">
              <w:rPr>
                <w:i/>
                <w:sz w:val="16"/>
                <w:szCs w:val="16"/>
                <w:lang w:val="en-US"/>
              </w:rPr>
              <w:t>, full name</w:t>
            </w:r>
            <w:r w:rsidRPr="000F4197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403A3E" w:rsidRPr="00E35B93" w14:paraId="01F80B02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645" w:type="dxa"/>
            <w:gridSpan w:val="7"/>
            <w:shd w:val="clear" w:color="auto" w:fill="F2F2F2"/>
            <w:vAlign w:val="center"/>
          </w:tcPr>
          <w:p w14:paraId="7A92696E" w14:textId="028543D1" w:rsidR="00403A3E" w:rsidRPr="000F4197" w:rsidRDefault="00403A3E" w:rsidP="00403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403A3E" w:rsidRPr="000F4197" w:rsidRDefault="00403A3E" w:rsidP="00403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268" w:type="dxa"/>
            <w:gridSpan w:val="6"/>
            <w:shd w:val="clear" w:color="auto" w:fill="FFFFFF"/>
            <w:vAlign w:val="center"/>
          </w:tcPr>
          <w:p w14:paraId="4B61C8A3" w14:textId="45F10764" w:rsidR="00403A3E" w:rsidRPr="000F4197" w:rsidRDefault="00403A3E" w:rsidP="00403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2D77C4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</w:p>
        </w:tc>
        <w:tc>
          <w:tcPr>
            <w:tcW w:w="4047" w:type="dxa"/>
            <w:gridSpan w:val="4"/>
            <w:shd w:val="clear" w:color="auto" w:fill="FFFFFF"/>
            <w:vAlign w:val="center"/>
          </w:tcPr>
          <w:p w14:paraId="5DE3A9DA" w14:textId="3BCD3B1E" w:rsidR="00403A3E" w:rsidRPr="000F4197" w:rsidRDefault="00403A3E" w:rsidP="00403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1A2799" w:rsidRPr="00E35B93" w14:paraId="3C00F2D6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54CFDBD9" w:rsidR="00AE6423" w:rsidRPr="000F4197" w:rsidRDefault="000745D5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I REQUEST TO CHANGE THE PRICING PLAN</w:t>
            </w:r>
          </w:p>
        </w:tc>
      </w:tr>
      <w:tr w:rsidR="007E4004" w:rsidRPr="00E35B93" w14:paraId="4910369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5104" w:type="dxa"/>
            <w:gridSpan w:val="2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75DB1AA" w:rsidR="00AE6423" w:rsidRPr="00AE6423" w:rsidRDefault="00403A3E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ACCOUNT NUMBER, AGREEMENT NUMBER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BA88D" w14:textId="142D5ACE" w:rsidR="00BC1BD4" w:rsidRPr="000F4197" w:rsidRDefault="000745D5" w:rsidP="00AE6423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NEW SCHEDULE OF TARIFFS OF THE ACCOUNT</w:t>
            </w:r>
          </w:p>
          <w:p w14:paraId="0068A1B4" w14:textId="5765DAD4" w:rsidR="00AE6423" w:rsidRPr="000F4197" w:rsidRDefault="00AE6423" w:rsidP="009D64E9">
            <w:pPr>
              <w:autoSpaceDE w:val="0"/>
              <w:autoSpaceDN w:val="0"/>
              <w:adjustRightInd w:val="0"/>
              <w:rPr>
                <w:b/>
                <w:color w:val="FFFFFF"/>
                <w:sz w:val="18"/>
                <w:lang w:val="en-US"/>
              </w:rPr>
            </w:pPr>
          </w:p>
        </w:tc>
      </w:tr>
      <w:tr w:rsidR="007E4004" w:rsidRPr="00E35B93" w14:paraId="14A9C67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6FD61F5D" w:rsidR="00516C3E" w:rsidRPr="000F4197" w:rsidRDefault="00516C3E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F25F" w14:textId="047E26A1" w:rsidR="00516C3E" w:rsidRPr="000F4197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FFA9" w14:textId="7B485DBA" w:rsidR="00516C3E" w:rsidRPr="000F4197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7E4004" w:rsidRPr="00E35B93" w14:paraId="3FF06AB4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08AC4ABD" w:rsidR="007E4004" w:rsidRPr="000F4197" w:rsidRDefault="00403A3E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 w:rsidRPr="000F4197">
              <w:rPr>
                <w:sz w:val="20"/>
                <w:szCs w:val="20"/>
                <w:lang w:val="en-US"/>
              </w:rPr>
              <w:t>Agreement of the Account dated /__/ __________/_____No.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70F5DE4C" w:rsidR="007E4004" w:rsidRPr="000F4197" w:rsidRDefault="007E400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017A" w14:textId="5881380E" w:rsidR="007E4004" w:rsidRPr="000F4197" w:rsidRDefault="007E4004" w:rsidP="00D255E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37FD0" w:rsidRPr="00E35B93" w14:paraId="1CE64E28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937FD0" w:rsidRPr="000F4197" w:rsidRDefault="00937FD0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514E5" w14:textId="35549690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4F6A" w14:textId="750D9AF9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E35B93" w14:paraId="7FF94D2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0F4197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9469C4" w:rsidRPr="00E35B93" w14:paraId="58A24999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130FE7ED" w:rsidR="009469C4" w:rsidRPr="000F4197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5027" w14:textId="64413694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E35B93" w14:paraId="5895464C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323E6A03" w:rsidR="009469C4" w:rsidRPr="000F4197" w:rsidRDefault="00403A3E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 w:rsidRPr="000F4197">
              <w:rPr>
                <w:sz w:val="20"/>
                <w:szCs w:val="20"/>
                <w:lang w:val="en-US"/>
              </w:rPr>
              <w:t>Agreement of the Account dated /__/ __________/_____No.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519CAA19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9C41" w14:textId="7C0B4D3A" w:rsidR="00D255EC" w:rsidRPr="000F4197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37FD0" w:rsidRPr="00E35B93" w14:paraId="5A57D550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937FD0" w:rsidRPr="000F4197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E172" w14:textId="2ED35931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E35B93" w14:paraId="706EF859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9469C4" w:rsidRPr="00E35B93" w14:paraId="095062AE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4E3F333B" w:rsidR="009469C4" w:rsidRPr="000F4197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A01A" w14:textId="699D3353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E35B93" w14:paraId="099BB0ED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7C7B6A1F" w:rsidR="009469C4" w:rsidRPr="000F4197" w:rsidRDefault="00403A3E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 w:rsidRPr="000F4197">
              <w:rPr>
                <w:sz w:val="20"/>
                <w:szCs w:val="20"/>
                <w:lang w:val="en-US"/>
              </w:rPr>
              <w:t>Agreement of the Account dated /__/ __________/_____No.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40E41D0D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282A" w14:textId="219BE37F" w:rsidR="00D255EC" w:rsidRPr="000F4197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37FD0" w:rsidRPr="00E35B93" w14:paraId="043388E2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937FD0" w:rsidRPr="000F4197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02EADCE4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1675" w14:textId="3AAEFA0C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E35B93" w14:paraId="25C15ED0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</w:tbl>
    <w:p w14:paraId="2DB27922" w14:textId="77777777" w:rsidR="009469C4" w:rsidRPr="000F4197" w:rsidRDefault="009469C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25A325F8" w:rsidR="00AE6423" w:rsidRPr="00ED79EB" w:rsidRDefault="00403A3E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CLIENT’S SIGNATURE</w:t>
            </w:r>
          </w:p>
        </w:tc>
      </w:tr>
      <w:tr w:rsidR="001A2799" w:rsidRPr="00E35B93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372" w14:textId="56344D30" w:rsidR="00AE6423" w:rsidRPr="000F4197" w:rsidRDefault="00403A3E" w:rsidP="00C836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>By completing and signing this Application I confirm that</w:t>
            </w:r>
            <w:r w:rsidR="00AE6423" w:rsidRPr="000F4197">
              <w:rPr>
                <w:sz w:val="16"/>
                <w:szCs w:val="16"/>
                <w:lang w:val="en-US"/>
              </w:rPr>
              <w:t>:</w:t>
            </w:r>
          </w:p>
          <w:p w14:paraId="2B8F0882" w14:textId="331465B1" w:rsidR="00396FB1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- </w:t>
            </w:r>
            <w:r w:rsidR="00403A3E" w:rsidRPr="000F4197">
              <w:rPr>
                <w:sz w:val="16"/>
                <w:szCs w:val="16"/>
                <w:lang w:val="en-US"/>
              </w:rPr>
              <w:t>I have read and agree with the Rules, Tariffs, Banking Rules and other documents of the Bank</w:t>
            </w:r>
            <w:r w:rsidR="00396FB1" w:rsidRPr="000F4197">
              <w:rPr>
                <w:sz w:val="16"/>
                <w:szCs w:val="16"/>
                <w:lang w:val="en-US"/>
              </w:rPr>
              <w:t>;</w:t>
            </w:r>
          </w:p>
          <w:p w14:paraId="0A6FDD41" w14:textId="1ADAFF3B" w:rsidR="00AE6423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-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I </w:t>
            </w:r>
            <w:r w:rsidR="000745D5" w:rsidRPr="000F4197">
              <w:rPr>
                <w:sz w:val="16"/>
                <w:szCs w:val="16"/>
                <w:lang w:val="en-US"/>
              </w:rPr>
              <w:t>have read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that previously existing individual tariffs will lose their validity,</w:t>
            </w:r>
            <w:r w:rsidR="000745D5" w:rsidRPr="000F4197">
              <w:rPr>
                <w:sz w:val="16"/>
                <w:szCs w:val="16"/>
                <w:lang w:val="en-US"/>
              </w:rPr>
              <w:t xml:space="preserve"> when connecting to the new Schedule of Tariff,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that after changing the </w:t>
            </w:r>
            <w:r w:rsidR="000745D5" w:rsidRPr="000F4197">
              <w:rPr>
                <w:sz w:val="16"/>
                <w:szCs w:val="16"/>
                <w:lang w:val="en-US"/>
              </w:rPr>
              <w:t>Schedule of Tariff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, tariffs for services will be carried out strictly within the framework of the tariffs of the new </w:t>
            </w:r>
            <w:r w:rsidR="000745D5" w:rsidRPr="000F4197">
              <w:rPr>
                <w:sz w:val="16"/>
                <w:szCs w:val="16"/>
                <w:lang w:val="en-US"/>
              </w:rPr>
              <w:t>Schedule of Tariff</w:t>
            </w:r>
            <w:r w:rsidRPr="000F4197">
              <w:rPr>
                <w:sz w:val="16"/>
                <w:szCs w:val="16"/>
                <w:lang w:val="en-US"/>
              </w:rPr>
              <w:t>;</w:t>
            </w:r>
          </w:p>
          <w:p w14:paraId="3BE07104" w14:textId="4E373492" w:rsidR="000D0806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- </w:t>
            </w:r>
            <w:r w:rsidR="000745D5" w:rsidRPr="000F4197">
              <w:rPr>
                <w:sz w:val="16"/>
                <w:szCs w:val="16"/>
                <w:lang w:val="en-US"/>
              </w:rPr>
              <w:t>I have read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that tariff and payment conditions provided for by the </w:t>
            </w:r>
            <w:r w:rsidR="000745D5" w:rsidRPr="000F4197">
              <w:rPr>
                <w:sz w:val="16"/>
                <w:szCs w:val="16"/>
                <w:lang w:val="en-US"/>
              </w:rPr>
              <w:t xml:space="preserve">Schedule of Tariff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chosen by the Client come into force on the 1st day of the month following the month </w:t>
            </w:r>
            <w:r w:rsidR="000745D5" w:rsidRPr="000F4197">
              <w:rPr>
                <w:sz w:val="16"/>
                <w:szCs w:val="16"/>
                <w:lang w:val="en-US"/>
              </w:rPr>
              <w:t>when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the </w:t>
            </w:r>
            <w:r w:rsidR="000745D5" w:rsidRPr="000F4197">
              <w:rPr>
                <w:sz w:val="16"/>
                <w:szCs w:val="16"/>
                <w:lang w:val="en-US"/>
              </w:rPr>
              <w:t xml:space="preserve">Schedule of Tariff </w:t>
            </w:r>
            <w:r w:rsidR="00403A3E" w:rsidRPr="000F4197">
              <w:rPr>
                <w:sz w:val="16"/>
                <w:szCs w:val="16"/>
                <w:lang w:val="en-US"/>
              </w:rPr>
              <w:t>was changed</w:t>
            </w:r>
            <w:r w:rsidR="000D0806" w:rsidRPr="000F4197">
              <w:rPr>
                <w:sz w:val="16"/>
                <w:szCs w:val="16"/>
                <w:lang w:val="en-US"/>
              </w:rPr>
              <w:t>;</w:t>
            </w:r>
          </w:p>
          <w:p w14:paraId="0087AD5B" w14:textId="34434B55" w:rsidR="00AE6423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 </w:t>
            </w:r>
            <w:r w:rsidR="00396FB1" w:rsidRPr="000F4197">
              <w:rPr>
                <w:sz w:val="16"/>
                <w:szCs w:val="16"/>
                <w:lang w:val="en-US"/>
              </w:rPr>
              <w:t xml:space="preserve">-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I have read and agree that, on the basis of this Application, the Bank is </w:t>
            </w:r>
            <w:r w:rsidR="000745D5" w:rsidRPr="000F4197">
              <w:rPr>
                <w:sz w:val="16"/>
                <w:szCs w:val="16"/>
                <w:lang w:val="en-US"/>
              </w:rPr>
              <w:t>amending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the terms of service of the Account(s) indicated by me in the manner prescribed by the Tariffs</w:t>
            </w:r>
            <w:r w:rsidR="000D0806" w:rsidRPr="000F4197">
              <w:rPr>
                <w:sz w:val="16"/>
                <w:szCs w:val="16"/>
                <w:lang w:val="en-US"/>
              </w:rPr>
              <w:t>.</w:t>
            </w:r>
          </w:p>
          <w:p w14:paraId="7CB3BD27" w14:textId="370DE844" w:rsidR="004A4F4D" w:rsidRPr="000F4197" w:rsidRDefault="00403A3E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All capitalized terms used in this </w:t>
            </w:r>
            <w:r w:rsidR="000745D5" w:rsidRPr="000F4197">
              <w:rPr>
                <w:sz w:val="16"/>
                <w:szCs w:val="16"/>
                <w:lang w:val="en-US"/>
              </w:rPr>
              <w:t>Application</w:t>
            </w:r>
            <w:r w:rsidRPr="000F4197">
              <w:rPr>
                <w:sz w:val="16"/>
                <w:szCs w:val="16"/>
                <w:lang w:val="en-US"/>
              </w:rPr>
              <w:t xml:space="preserve"> have the same meaning as in the Rules, unless a different meaning of these terms is defined in this </w:t>
            </w:r>
            <w:r w:rsidR="000745D5" w:rsidRPr="000F4197">
              <w:rPr>
                <w:sz w:val="16"/>
                <w:szCs w:val="16"/>
                <w:lang w:val="en-US"/>
              </w:rPr>
              <w:t>Application</w:t>
            </w:r>
            <w:r w:rsidR="004A4F4D" w:rsidRPr="000F4197">
              <w:rPr>
                <w:sz w:val="16"/>
                <w:szCs w:val="16"/>
                <w:lang w:val="en-US"/>
              </w:rPr>
              <w:t>.</w:t>
            </w:r>
          </w:p>
          <w:p w14:paraId="70122C03" w14:textId="64CE31AD" w:rsidR="00EF3D41" w:rsidRPr="000F4197" w:rsidRDefault="00403A3E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="000745D5" w:rsidRPr="000F4197">
              <w:rPr>
                <w:sz w:val="16"/>
                <w:szCs w:val="16"/>
                <w:lang w:val="en-US"/>
              </w:rPr>
              <w:t>LLC “</w:t>
            </w:r>
            <w:r w:rsidRPr="000F4197">
              <w:rPr>
                <w:sz w:val="16"/>
                <w:szCs w:val="16"/>
                <w:lang w:val="en-US"/>
              </w:rPr>
              <w:t>Bank 131</w:t>
            </w:r>
            <w:r w:rsidR="000745D5" w:rsidRPr="000F4197">
              <w:rPr>
                <w:sz w:val="16"/>
                <w:szCs w:val="16"/>
                <w:lang w:val="en-US"/>
              </w:rPr>
              <w:t>”</w:t>
            </w:r>
            <w:r w:rsidRPr="000F4197">
              <w:rPr>
                <w:sz w:val="16"/>
                <w:szCs w:val="16"/>
                <w:lang w:val="en-US"/>
              </w:rPr>
              <w:t xml:space="preserve">, or sent to the Bank via the </w:t>
            </w:r>
            <w:r w:rsidR="00F8336D" w:rsidRPr="000F4197">
              <w:rPr>
                <w:sz w:val="16"/>
                <w:szCs w:val="16"/>
                <w:lang w:val="en-US"/>
              </w:rPr>
              <w:t xml:space="preserve">SIO (Information Exchange </w:t>
            </w:r>
            <w:r w:rsidR="002D1109">
              <w:rPr>
                <w:sz w:val="16"/>
                <w:szCs w:val="16"/>
                <w:lang w:val="en-US"/>
              </w:rPr>
              <w:t>System</w:t>
            </w:r>
            <w:r w:rsidR="00F8336D" w:rsidRPr="000F4197">
              <w:rPr>
                <w:sz w:val="16"/>
                <w:szCs w:val="16"/>
                <w:lang w:val="en-US"/>
              </w:rPr>
              <w:t>)</w:t>
            </w:r>
            <w:r w:rsidR="00DB6986">
              <w:rPr>
                <w:sz w:val="16"/>
                <w:szCs w:val="16"/>
                <w:lang w:val="en-US"/>
              </w:rPr>
              <w:t xml:space="preserve"> in accordance with the Rules</w:t>
            </w:r>
            <w:r w:rsidRPr="000F4197">
              <w:rPr>
                <w:sz w:val="16"/>
                <w:szCs w:val="16"/>
                <w:lang w:val="en-US"/>
              </w:rPr>
              <w:t xml:space="preserve">. This </w:t>
            </w:r>
            <w:r w:rsidR="00F8336D" w:rsidRPr="000F4197">
              <w:rPr>
                <w:sz w:val="16"/>
                <w:szCs w:val="16"/>
                <w:lang w:val="en-US"/>
              </w:rPr>
              <w:t>Application</w:t>
            </w:r>
            <w:r w:rsidRPr="000F4197">
              <w:rPr>
                <w:sz w:val="16"/>
                <w:szCs w:val="16"/>
                <w:lang w:val="en-US"/>
              </w:rPr>
              <w:t xml:space="preserve"> </w:t>
            </w:r>
            <w:r w:rsidRPr="000F4197">
              <w:rPr>
                <w:color w:val="4F81BD" w:themeColor="accent1"/>
                <w:sz w:val="16"/>
                <w:szCs w:val="16"/>
                <w:u w:val="single"/>
                <w:lang w:val="en-US"/>
              </w:rPr>
              <w:t>is drawn up</w:t>
            </w:r>
            <w:r w:rsidRPr="000F4197">
              <w:rPr>
                <w:color w:val="4F81BD" w:themeColor="accent1"/>
                <w:sz w:val="16"/>
                <w:szCs w:val="16"/>
                <w:lang w:val="en-US"/>
              </w:rPr>
              <w:t xml:space="preserve"> </w:t>
            </w:r>
            <w:r w:rsidRPr="000F4197">
              <w:rPr>
                <w:sz w:val="16"/>
                <w:szCs w:val="16"/>
                <w:lang w:val="en-US"/>
              </w:rPr>
              <w:t xml:space="preserve">in Russian and English. In case of discrepancies, the </w:t>
            </w:r>
            <w:r w:rsidR="00F8336D" w:rsidRPr="000F4197">
              <w:rPr>
                <w:sz w:val="16"/>
                <w:szCs w:val="16"/>
                <w:lang w:val="en-US"/>
              </w:rPr>
              <w:t xml:space="preserve">Russian </w:t>
            </w:r>
            <w:r w:rsidRPr="000F4197">
              <w:rPr>
                <w:sz w:val="16"/>
                <w:szCs w:val="16"/>
                <w:lang w:val="en-US"/>
              </w:rPr>
              <w:t>text shall take precedence</w:t>
            </w:r>
            <w:r w:rsidR="00394A5E" w:rsidRPr="000F4197">
              <w:rPr>
                <w:sz w:val="16"/>
                <w:szCs w:val="16"/>
                <w:lang w:val="en-US"/>
              </w:rPr>
              <w:t>.</w:t>
            </w: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0F4197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  <w:lang w:val="en-US"/>
              </w:rPr>
            </w:pPr>
          </w:p>
          <w:p w14:paraId="622B8F4B" w14:textId="77777777" w:rsidR="006D4B1E" w:rsidRPr="000F4197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  <w:lang w:val="en-US"/>
              </w:rPr>
            </w:pPr>
          </w:p>
          <w:p w14:paraId="24A12E01" w14:textId="5E8B87E7" w:rsidR="00AE6423" w:rsidRPr="006D4B1E" w:rsidRDefault="00403A3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L.C</w:t>
            </w:r>
            <w:r w:rsidRPr="0049195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0233E8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  <w:lang w:val="en-US"/>
              </w:rPr>
              <w:t>if any</w:t>
            </w:r>
            <w:r w:rsidR="00AE6423" w:rsidRPr="000233E8">
              <w:rPr>
                <w:i/>
                <w:sz w:val="14"/>
                <w:szCs w:val="14"/>
              </w:rPr>
              <w:t>)</w:t>
            </w:r>
          </w:p>
          <w:p w14:paraId="267D9F32" w14:textId="6C7CA3A4" w:rsidR="000233E8" w:rsidRPr="00ED79EB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29E997BD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403A3E">
              <w:rPr>
                <w:i/>
                <w:sz w:val="14"/>
                <w:szCs w:val="14"/>
                <w:lang w:val="en-US"/>
              </w:rPr>
              <w:t>Signature</w:t>
            </w:r>
            <w:r w:rsidRPr="000233E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016EF9F1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403A3E">
              <w:rPr>
                <w:i/>
                <w:sz w:val="14"/>
                <w:szCs w:val="14"/>
                <w:lang w:val="en-US"/>
              </w:rPr>
              <w:t>Position, full name</w:t>
            </w:r>
            <w:r w:rsidRPr="000233E8">
              <w:rPr>
                <w:i/>
                <w:sz w:val="14"/>
                <w:szCs w:val="14"/>
              </w:rPr>
              <w:t>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4BFB7E6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___</w:t>
            </w:r>
            <w:r w:rsidR="00403A3E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A827C4">
              <w:rPr>
                <w:b/>
                <w:sz w:val="20"/>
                <w:szCs w:val="20"/>
              </w:rPr>
              <w:t xml:space="preserve">_____________ </w:t>
            </w:r>
            <w:r w:rsidR="00403A3E">
              <w:rPr>
                <w:b/>
                <w:sz w:val="20"/>
                <w:szCs w:val="20"/>
                <w:lang w:val="en-US"/>
              </w:rPr>
              <w:t>/</w:t>
            </w:r>
            <w:r w:rsidRPr="00A827C4">
              <w:rPr>
                <w:b/>
                <w:sz w:val="20"/>
                <w:szCs w:val="20"/>
              </w:rPr>
              <w:t xml:space="preserve"> 20__ 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9FEE48E" w:rsidR="00396FB1" w:rsidRPr="00CF4FE2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2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="00403A3E" w:rsidRPr="00403A3E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FOR BANK USE ONLY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E35B93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17E96" w14:textId="0FCC2610" w:rsidR="00403A3E" w:rsidRPr="000F4197" w:rsidRDefault="00403A3E" w:rsidP="00403A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application was assigned No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0F419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___________________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="00E35B9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of </w:t>
                  </w:r>
                  <w:r w:rsidR="00E35B93" w:rsidRPr="00E35B9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changing the Schedule of Tariffs</w:t>
                  </w:r>
                  <w:r w:rsidRPr="000F419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 ___ / ____ / 20 __ </w:t>
                  </w:r>
                </w:p>
                <w:p w14:paraId="53CA47BD" w14:textId="7E6EAA91" w:rsidR="00396FB1" w:rsidRPr="000F4197" w:rsidRDefault="00403A3E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Application was accepted and checked,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Client was identified, 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documents submitted by the </w:t>
                  </w:r>
                  <w:r w:rsidR="006D6BB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the authority of the person who signed the Application was verified by</w:t>
                  </w:r>
                  <w:r w:rsidR="00396FB1" w:rsidRPr="000F419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396FB1" w:rsidRPr="00E35B93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0F4197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531833B" w14:textId="11A30DFF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="00403A3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="00403A3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20____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0F4197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02C25D12" w14:textId="7B4474A4" w:rsidR="00396FB1" w:rsidRPr="000F4197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0F4197">
                    <w:rPr>
                      <w:i/>
                      <w:iCs/>
                      <w:sz w:val="20"/>
                      <w:szCs w:val="20"/>
                      <w:lang w:val="en-US"/>
                    </w:rPr>
                    <w:t xml:space="preserve">__________________ / ___________________ </w:t>
                  </w:r>
                  <w:r w:rsidRPr="000F419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(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full</w:t>
                  </w:r>
                  <w:r w:rsidR="00403A3E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  <w:r w:rsidR="00403A3E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and</w:t>
                  </w:r>
                  <w:r w:rsidR="00403A3E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signature of Bank employee</w:t>
                  </w:r>
                  <w:r w:rsidRPr="000F419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96FB1" w:rsidRPr="002F514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37AD0ABE" w:rsidR="00396FB1" w:rsidRPr="000F4197" w:rsidRDefault="00403A3E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Agreement of the Account is</w:t>
                  </w:r>
                  <w:r w:rsidR="00396FB1" w:rsidRPr="000F419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0481E5BB" w:rsidR="00396FB1" w:rsidRPr="007524BA" w:rsidRDefault="00403A3E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amended</w:t>
                  </w: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0656EE16" w:rsidR="00396FB1" w:rsidRPr="000F4197" w:rsidRDefault="00403A3E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not amended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77777777" w:rsidR="00396FB1" w:rsidRPr="007524BA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626FADDE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1CA31067" w14:textId="77777777" w:rsidR="00403A3E" w:rsidRPr="002D77C4" w:rsidRDefault="00403A3E" w:rsidP="00403A3E">
      <w:pPr>
        <w:ind w:left="142"/>
        <w:rPr>
          <w:i/>
          <w:sz w:val="14"/>
          <w:szCs w:val="14"/>
          <w:lang w:val="en-US"/>
        </w:rPr>
      </w:pPr>
      <w:r>
        <w:rPr>
          <w:b/>
          <w:sz w:val="18"/>
          <w:szCs w:val="18"/>
          <w:lang w:val="en-US"/>
        </w:rPr>
        <w:t>Banking representative</w:t>
      </w:r>
      <w:r w:rsidRPr="002D77C4">
        <w:rPr>
          <w:b/>
          <w:sz w:val="18"/>
          <w:szCs w:val="18"/>
          <w:lang w:val="en-US"/>
        </w:rPr>
        <w:t xml:space="preserve"> </w:t>
      </w:r>
      <w:r w:rsidRPr="002D77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  <w:lang w:val="en-US"/>
        </w:rPr>
        <w:t>position, fill name</w:t>
      </w:r>
      <w:r w:rsidRPr="002D77C4">
        <w:rPr>
          <w:i/>
          <w:sz w:val="14"/>
          <w:szCs w:val="14"/>
          <w:lang w:val="en-US"/>
        </w:rPr>
        <w:t>)</w:t>
      </w:r>
    </w:p>
    <w:p w14:paraId="36B90746" w14:textId="77777777" w:rsidR="00403A3E" w:rsidRPr="000F4197" w:rsidRDefault="00403A3E" w:rsidP="00403A3E">
      <w:pPr>
        <w:ind w:left="142"/>
        <w:rPr>
          <w:b/>
          <w:sz w:val="18"/>
          <w:szCs w:val="18"/>
          <w:lang w:val="en-US"/>
        </w:rPr>
      </w:pPr>
      <w:r w:rsidRPr="000F4197">
        <w:rPr>
          <w:b/>
          <w:sz w:val="18"/>
          <w:szCs w:val="18"/>
          <w:lang w:val="en-US"/>
        </w:rPr>
        <w:t>___________________________________________</w:t>
      </w:r>
    </w:p>
    <w:p w14:paraId="7358E9AF" w14:textId="77777777" w:rsidR="00403A3E" w:rsidRPr="002D77C4" w:rsidRDefault="00403A3E" w:rsidP="00403A3E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acting on the basis of</w:t>
      </w:r>
      <w:r w:rsidRPr="002D77C4">
        <w:rPr>
          <w:b/>
          <w:sz w:val="18"/>
          <w:szCs w:val="18"/>
          <w:lang w:val="en-US"/>
        </w:rPr>
        <w:t xml:space="preserve"> _________________</w:t>
      </w:r>
    </w:p>
    <w:p w14:paraId="3509D5F0" w14:textId="77777777" w:rsidR="00403A3E" w:rsidRPr="000F4197" w:rsidRDefault="00403A3E" w:rsidP="00403A3E">
      <w:pPr>
        <w:ind w:left="142"/>
        <w:rPr>
          <w:b/>
          <w:sz w:val="18"/>
          <w:szCs w:val="18"/>
          <w:lang w:val="en-US"/>
        </w:rPr>
      </w:pPr>
      <w:r w:rsidRPr="000F4197">
        <w:rPr>
          <w:b/>
          <w:sz w:val="18"/>
          <w:szCs w:val="18"/>
          <w:lang w:val="en-US"/>
        </w:rPr>
        <w:t>___________________________________________</w:t>
      </w:r>
    </w:p>
    <w:p w14:paraId="5561194D" w14:textId="77777777" w:rsidR="00403A3E" w:rsidRPr="002D77C4" w:rsidRDefault="00403A3E" w:rsidP="00403A3E">
      <w:pPr>
        <w:ind w:left="142"/>
        <w:rPr>
          <w:b/>
          <w:sz w:val="18"/>
          <w:szCs w:val="18"/>
          <w:lang w:val="en-US"/>
        </w:rPr>
      </w:pPr>
      <w:r w:rsidRPr="002D77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  <w:lang w:val="en-US"/>
        </w:rPr>
        <w:t>number and date of the power of attorney</w:t>
      </w:r>
      <w:r w:rsidRPr="002D77C4">
        <w:rPr>
          <w:i/>
          <w:sz w:val="14"/>
          <w:szCs w:val="14"/>
          <w:lang w:val="en-US"/>
        </w:rPr>
        <w:t>)</w:t>
      </w:r>
    </w:p>
    <w:p w14:paraId="70617D13" w14:textId="079A94B0" w:rsidR="00A2449B" w:rsidRPr="00EA0095" w:rsidRDefault="00403A3E" w:rsidP="000F4197">
      <w:pPr>
        <w:autoSpaceDE w:val="0"/>
        <w:autoSpaceDN w:val="0"/>
        <w:adjustRightInd w:val="0"/>
        <w:ind w:left="5103"/>
      </w:pPr>
      <w:r>
        <w:rPr>
          <w:sz w:val="20"/>
          <w:szCs w:val="20"/>
          <w:lang w:val="en-US"/>
        </w:rPr>
        <w:t>L</w:t>
      </w:r>
      <w:r w:rsidRPr="002D77C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2D77C4">
        <w:rPr>
          <w:sz w:val="20"/>
          <w:szCs w:val="20"/>
          <w:lang w:val="en-US"/>
        </w:rPr>
        <w:t>.</w:t>
      </w: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311C" w14:textId="77777777" w:rsidR="00ED3417" w:rsidRDefault="00ED3417">
      <w:r>
        <w:separator/>
      </w:r>
    </w:p>
  </w:endnote>
  <w:endnote w:type="continuationSeparator" w:id="0">
    <w:p w14:paraId="0A7ACB06" w14:textId="77777777" w:rsidR="00ED3417" w:rsidRDefault="00ED3417">
      <w:r>
        <w:continuationSeparator/>
      </w:r>
    </w:p>
  </w:endnote>
  <w:endnote w:type="continuationNotice" w:id="1">
    <w:p w14:paraId="499987C6" w14:textId="77777777" w:rsidR="00ED3417" w:rsidRDefault="00ED3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997F" w14:textId="77777777" w:rsidR="00ED3417" w:rsidRDefault="00ED3417">
      <w:r>
        <w:separator/>
      </w:r>
    </w:p>
  </w:footnote>
  <w:footnote w:type="continuationSeparator" w:id="0">
    <w:p w14:paraId="750F809D" w14:textId="77777777" w:rsidR="00ED3417" w:rsidRDefault="00ED3417">
      <w:r>
        <w:continuationSeparator/>
      </w:r>
    </w:p>
  </w:footnote>
  <w:footnote w:type="continuationNotice" w:id="1">
    <w:p w14:paraId="3C44959A" w14:textId="77777777" w:rsidR="00ED3417" w:rsidRDefault="00ED3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228108214">
    <w:abstractNumId w:val="19"/>
  </w:num>
  <w:num w:numId="2" w16cid:durableId="2072269793">
    <w:abstractNumId w:val="6"/>
  </w:num>
  <w:num w:numId="3" w16cid:durableId="1195508868">
    <w:abstractNumId w:val="8"/>
  </w:num>
  <w:num w:numId="4" w16cid:durableId="2088918951">
    <w:abstractNumId w:val="16"/>
  </w:num>
  <w:num w:numId="5" w16cid:durableId="1492404769">
    <w:abstractNumId w:val="15"/>
  </w:num>
  <w:num w:numId="6" w16cid:durableId="70468361">
    <w:abstractNumId w:val="13"/>
  </w:num>
  <w:num w:numId="7" w16cid:durableId="1998485788">
    <w:abstractNumId w:val="18"/>
  </w:num>
  <w:num w:numId="8" w16cid:durableId="285702366">
    <w:abstractNumId w:val="5"/>
  </w:num>
  <w:num w:numId="9" w16cid:durableId="2080902915">
    <w:abstractNumId w:val="2"/>
  </w:num>
  <w:num w:numId="10" w16cid:durableId="978846740">
    <w:abstractNumId w:val="4"/>
  </w:num>
  <w:num w:numId="11" w16cid:durableId="1259604624">
    <w:abstractNumId w:val="9"/>
  </w:num>
  <w:num w:numId="12" w16cid:durableId="324287135">
    <w:abstractNumId w:val="10"/>
  </w:num>
  <w:num w:numId="13" w16cid:durableId="1184706789">
    <w:abstractNumId w:val="12"/>
  </w:num>
  <w:num w:numId="14" w16cid:durableId="1412387640">
    <w:abstractNumId w:val="7"/>
  </w:num>
  <w:num w:numId="15" w16cid:durableId="1234701797">
    <w:abstractNumId w:val="11"/>
  </w:num>
  <w:num w:numId="16" w16cid:durableId="2099478286">
    <w:abstractNumId w:val="14"/>
  </w:num>
  <w:num w:numId="17" w16cid:durableId="943997466">
    <w:abstractNumId w:val="1"/>
  </w:num>
  <w:num w:numId="18" w16cid:durableId="162453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96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3557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7257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45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6561679">
    <w:abstractNumId w:val="17"/>
  </w:num>
  <w:num w:numId="24" w16cid:durableId="1644846744">
    <w:abstractNumId w:val="0"/>
  </w:num>
  <w:num w:numId="25" w16cid:durableId="63001696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4FC"/>
    <w:rsid w:val="00073544"/>
    <w:rsid w:val="0007434D"/>
    <w:rsid w:val="000745D5"/>
    <w:rsid w:val="0007481C"/>
    <w:rsid w:val="00074EE7"/>
    <w:rsid w:val="00075E14"/>
    <w:rsid w:val="00075E8B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D6E5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4197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0BA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5B0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3463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1109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4E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524F"/>
    <w:rsid w:val="00367EF3"/>
    <w:rsid w:val="0037051E"/>
    <w:rsid w:val="00371332"/>
    <w:rsid w:val="00371527"/>
    <w:rsid w:val="003716F4"/>
    <w:rsid w:val="00371BD8"/>
    <w:rsid w:val="0037273D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A5E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A3E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CE2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6A9D"/>
    <w:rsid w:val="0049733E"/>
    <w:rsid w:val="004A27C1"/>
    <w:rsid w:val="004A36C5"/>
    <w:rsid w:val="004A4B5D"/>
    <w:rsid w:val="004A4F4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5D34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1617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42F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36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6BB7"/>
    <w:rsid w:val="006D71CA"/>
    <w:rsid w:val="006D75AF"/>
    <w:rsid w:val="006D7A3F"/>
    <w:rsid w:val="006D7FEB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91D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1D05"/>
    <w:rsid w:val="0096225F"/>
    <w:rsid w:val="00963C65"/>
    <w:rsid w:val="00963C85"/>
    <w:rsid w:val="00964F2E"/>
    <w:rsid w:val="00965697"/>
    <w:rsid w:val="00965C0D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1D68"/>
    <w:rsid w:val="009D335B"/>
    <w:rsid w:val="009D3D3A"/>
    <w:rsid w:val="009D5FDC"/>
    <w:rsid w:val="009D64E9"/>
    <w:rsid w:val="009D6972"/>
    <w:rsid w:val="009D6BD8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793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57CD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191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2D1E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944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3637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2EC3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24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986"/>
    <w:rsid w:val="00DB6BAB"/>
    <w:rsid w:val="00DC01E9"/>
    <w:rsid w:val="00DC08E3"/>
    <w:rsid w:val="00DC0A4F"/>
    <w:rsid w:val="00DC1462"/>
    <w:rsid w:val="00DC4DF9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B93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417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323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36D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Olga Korchagina</cp:lastModifiedBy>
  <cp:revision>10</cp:revision>
  <cp:lastPrinted>2020-08-28T12:07:00Z</cp:lastPrinted>
  <dcterms:created xsi:type="dcterms:W3CDTF">2023-11-22T13:52:00Z</dcterms:created>
  <dcterms:modified xsi:type="dcterms:W3CDTF">2023-12-08T08:03:00Z</dcterms:modified>
</cp:coreProperties>
</file>