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36DFD" w14:textId="7FDAE335" w:rsidR="00DB3DCF" w:rsidRDefault="00DB3DCF" w:rsidP="009F02F9">
      <w:pPr>
        <w:spacing w:line="276" w:lineRule="auto"/>
        <w:jc w:val="right"/>
        <w:rPr>
          <w:rFonts w:ascii="Calibri Light" w:hAnsi="Calibri Light"/>
          <w:sz w:val="20"/>
          <w:szCs w:val="20"/>
        </w:rPr>
      </w:pPr>
      <w:r w:rsidRPr="00F8164C">
        <w:rPr>
          <w:rFonts w:ascii="Calibri Light" w:hAnsi="Calibri Light"/>
          <w:sz w:val="20"/>
          <w:szCs w:val="20"/>
        </w:rPr>
        <w:t>Приложение №</w:t>
      </w:r>
      <w:r>
        <w:rPr>
          <w:rFonts w:ascii="Calibri Light" w:hAnsi="Calibri Light"/>
          <w:sz w:val="20"/>
          <w:szCs w:val="20"/>
        </w:rPr>
        <w:t>2 к Условиям открытия, ведения и обслуживания банковского счета типа «С»</w:t>
      </w:r>
      <w:r w:rsidRPr="00F8164C">
        <w:rPr>
          <w:rFonts w:ascii="Calibri Light" w:hAnsi="Calibri Light"/>
          <w:sz w:val="20"/>
          <w:szCs w:val="20"/>
        </w:rPr>
        <w:t xml:space="preserve"> </w:t>
      </w:r>
    </w:p>
    <w:p w14:paraId="666648A9" w14:textId="34350BCD" w:rsidR="008D5349" w:rsidRPr="00F71B69" w:rsidRDefault="008D5349" w:rsidP="009F02F9">
      <w:pPr>
        <w:spacing w:line="276" w:lineRule="auto"/>
        <w:jc w:val="right"/>
        <w:rPr>
          <w:rFonts w:ascii="Calibri Light" w:hAnsi="Calibri Light"/>
          <w:sz w:val="20"/>
          <w:szCs w:val="20"/>
          <w:lang w:val="en-US"/>
        </w:rPr>
      </w:pPr>
      <w:r w:rsidRPr="00F71B69">
        <w:rPr>
          <w:rFonts w:ascii="Calibri Light" w:hAnsi="Calibri Light"/>
          <w:sz w:val="20"/>
          <w:szCs w:val="20"/>
          <w:lang w:val="en-US"/>
        </w:rPr>
        <w:t xml:space="preserve">Appendix No. 2 to the Conditions for opening, maintaining and servicing a bank account of type "C" </w:t>
      </w:r>
    </w:p>
    <w:p w14:paraId="0B4B64CA" w14:textId="77777777" w:rsidR="008D5349" w:rsidRPr="008D5349" w:rsidRDefault="008D5349" w:rsidP="009F02F9">
      <w:pPr>
        <w:spacing w:line="276" w:lineRule="auto"/>
        <w:jc w:val="right"/>
        <w:rPr>
          <w:rFonts w:ascii="Calibri Light" w:hAnsi="Calibri Light"/>
          <w:sz w:val="20"/>
          <w:szCs w:val="20"/>
          <w:lang w:val="en-US"/>
        </w:rPr>
      </w:pPr>
    </w:p>
    <w:p w14:paraId="2691290C" w14:textId="7125EA0F" w:rsidR="00A705C5" w:rsidRPr="00F71B69" w:rsidRDefault="00636263" w:rsidP="009F02F9">
      <w:pPr>
        <w:spacing w:line="276" w:lineRule="auto"/>
        <w:ind w:left="360"/>
        <w:jc w:val="center"/>
        <w:rPr>
          <w:rFonts w:cstheme="minorHAnsi"/>
          <w:sz w:val="20"/>
          <w:szCs w:val="20"/>
        </w:rPr>
      </w:pPr>
      <w:r>
        <w:rPr>
          <w:rFonts w:cstheme="minorHAnsi"/>
          <w:sz w:val="20"/>
          <w:szCs w:val="20"/>
        </w:rPr>
        <w:t>Тарифы</w:t>
      </w:r>
      <w:r w:rsidR="008D5349">
        <w:rPr>
          <w:rFonts w:cstheme="minorHAnsi"/>
          <w:sz w:val="20"/>
          <w:szCs w:val="20"/>
        </w:rPr>
        <w:t>/</w:t>
      </w:r>
      <w:r w:rsidR="008D5349" w:rsidRPr="008D5349">
        <w:t xml:space="preserve"> </w:t>
      </w:r>
      <w:r w:rsidR="008D5349">
        <w:rPr>
          <w:lang w:val="en-US"/>
        </w:rPr>
        <w:t>T</w:t>
      </w:r>
      <w:proofErr w:type="spellStart"/>
      <w:r w:rsidR="008D5349" w:rsidRPr="008D5349">
        <w:rPr>
          <w:rFonts w:cstheme="minorHAnsi"/>
          <w:sz w:val="20"/>
          <w:szCs w:val="20"/>
        </w:rPr>
        <w:t>ariff</w:t>
      </w:r>
      <w:proofErr w:type="spellEnd"/>
      <w:r w:rsidR="008D5349">
        <w:rPr>
          <w:rFonts w:cstheme="minorHAnsi"/>
          <w:sz w:val="20"/>
          <w:szCs w:val="20"/>
          <w:lang w:val="en-US"/>
        </w:rPr>
        <w:t>s</w:t>
      </w:r>
    </w:p>
    <w:tbl>
      <w:tblPr>
        <w:tblStyle w:val="a8"/>
        <w:tblW w:w="0" w:type="auto"/>
        <w:tblInd w:w="360" w:type="dxa"/>
        <w:tblLook w:val="04A0" w:firstRow="1" w:lastRow="0" w:firstColumn="1" w:lastColumn="0" w:noHBand="0" w:noVBand="1"/>
      </w:tblPr>
      <w:tblGrid>
        <w:gridCol w:w="7714"/>
        <w:gridCol w:w="7667"/>
      </w:tblGrid>
      <w:tr w:rsidR="007D196A" w:rsidRPr="00250818" w14:paraId="4FEB167A" w14:textId="77777777" w:rsidTr="007D196A">
        <w:tc>
          <w:tcPr>
            <w:tcW w:w="7870" w:type="dxa"/>
          </w:tcPr>
          <w:p w14:paraId="3AAAE2B6" w14:textId="77777777" w:rsidR="007D196A" w:rsidRPr="007D196A" w:rsidRDefault="007D196A" w:rsidP="007D196A">
            <w:pPr>
              <w:spacing w:line="276" w:lineRule="auto"/>
              <w:ind w:firstLine="567"/>
              <w:jc w:val="both"/>
              <w:rPr>
                <w:rFonts w:ascii="Arial" w:hAnsi="Arial" w:cs="Arial"/>
                <w:sz w:val="20"/>
                <w:szCs w:val="20"/>
              </w:rPr>
            </w:pPr>
            <w:r w:rsidRPr="007D196A">
              <w:rPr>
                <w:rFonts w:cstheme="minorHAnsi"/>
                <w:sz w:val="20"/>
                <w:szCs w:val="20"/>
              </w:rPr>
              <w:t xml:space="preserve">1. </w:t>
            </w:r>
            <w:r w:rsidRPr="009F02F9">
              <w:rPr>
                <w:rFonts w:ascii="Arial" w:hAnsi="Arial" w:cs="Arial"/>
                <w:sz w:val="20"/>
                <w:szCs w:val="20"/>
              </w:rPr>
              <w:t>Вознаграждени</w:t>
            </w:r>
            <w:r w:rsidRPr="007D196A">
              <w:rPr>
                <w:rFonts w:ascii="Arial" w:hAnsi="Arial" w:cs="Arial"/>
                <w:sz w:val="20"/>
                <w:szCs w:val="20"/>
              </w:rPr>
              <w:t>е Банка</w:t>
            </w:r>
            <w:r w:rsidRPr="009F02F9">
              <w:rPr>
                <w:rFonts w:ascii="Arial" w:hAnsi="Arial" w:cs="Arial"/>
                <w:sz w:val="20"/>
                <w:szCs w:val="20"/>
              </w:rPr>
              <w:t xml:space="preserve"> </w:t>
            </w:r>
            <w:r w:rsidRPr="007D196A">
              <w:rPr>
                <w:rFonts w:ascii="Arial" w:hAnsi="Arial" w:cs="Arial"/>
                <w:sz w:val="20"/>
                <w:szCs w:val="20"/>
              </w:rPr>
              <w:t>о</w:t>
            </w:r>
            <w:r w:rsidRPr="009F02F9">
              <w:rPr>
                <w:rFonts w:ascii="Arial" w:hAnsi="Arial" w:cs="Arial"/>
                <w:sz w:val="20"/>
                <w:szCs w:val="20"/>
              </w:rPr>
              <w:t>плачива</w:t>
            </w:r>
            <w:r w:rsidRPr="007D196A">
              <w:rPr>
                <w:rFonts w:ascii="Arial" w:hAnsi="Arial" w:cs="Arial"/>
                <w:sz w:val="20"/>
                <w:szCs w:val="20"/>
              </w:rPr>
              <w:t>ется</w:t>
            </w:r>
            <w:r w:rsidRPr="009F02F9">
              <w:rPr>
                <w:rFonts w:ascii="Arial" w:hAnsi="Arial" w:cs="Arial"/>
                <w:sz w:val="20"/>
                <w:szCs w:val="20"/>
              </w:rPr>
              <w:t xml:space="preserve"> только в безналичном порядке. Указанные в настоящем Тарифе вознаграждения в рублях взимаются в рублях Российской Федерации</w:t>
            </w:r>
            <w:r w:rsidRPr="007D196A">
              <w:rPr>
                <w:rFonts w:ascii="Arial" w:hAnsi="Arial" w:cs="Arial"/>
                <w:sz w:val="20"/>
                <w:szCs w:val="20"/>
              </w:rPr>
              <w:t>.</w:t>
            </w:r>
            <w:r w:rsidRPr="009F02F9">
              <w:rPr>
                <w:rFonts w:ascii="Arial" w:hAnsi="Arial" w:cs="Arial"/>
                <w:sz w:val="20"/>
                <w:szCs w:val="20"/>
              </w:rPr>
              <w:t xml:space="preserve"> </w:t>
            </w:r>
            <w:r w:rsidRPr="007D196A">
              <w:rPr>
                <w:rFonts w:ascii="Arial" w:hAnsi="Arial" w:cs="Arial"/>
                <w:sz w:val="20"/>
                <w:szCs w:val="20"/>
              </w:rPr>
              <w:t>У</w:t>
            </w:r>
            <w:r w:rsidRPr="009F02F9">
              <w:rPr>
                <w:rFonts w:ascii="Arial" w:hAnsi="Arial" w:cs="Arial"/>
                <w:sz w:val="20"/>
                <w:szCs w:val="20"/>
              </w:rPr>
              <w:t>казанные в настоящем Тарифе вознаграждения в иностранной валюте взимаются в соответствующей валюте, в рублях по официальному курсу Банка России на дату оплаты или иных иностранных валютах по официальному курсу (кросс-курсу) Банка России на дату оплаты.</w:t>
            </w:r>
          </w:p>
          <w:p w14:paraId="62BC433E" w14:textId="77777777" w:rsidR="007D196A" w:rsidRPr="007D196A" w:rsidRDefault="007D196A" w:rsidP="007D196A">
            <w:pPr>
              <w:spacing w:line="276" w:lineRule="auto"/>
              <w:ind w:firstLine="567"/>
              <w:jc w:val="both"/>
              <w:rPr>
                <w:rFonts w:ascii="Arial" w:hAnsi="Arial" w:cs="Arial"/>
                <w:sz w:val="20"/>
                <w:szCs w:val="20"/>
              </w:rPr>
            </w:pPr>
            <w:r w:rsidRPr="007D196A">
              <w:rPr>
                <w:rFonts w:cstheme="minorHAnsi"/>
                <w:sz w:val="20"/>
                <w:szCs w:val="20"/>
              </w:rPr>
              <w:t xml:space="preserve">2. </w:t>
            </w:r>
            <w:r w:rsidRPr="009F02F9">
              <w:rPr>
                <w:rFonts w:ascii="Arial" w:hAnsi="Arial" w:cs="Arial"/>
                <w:sz w:val="20"/>
                <w:szCs w:val="20"/>
              </w:rPr>
              <w:t>Вознаграждени</w:t>
            </w:r>
            <w:r w:rsidRPr="007D196A">
              <w:rPr>
                <w:rFonts w:ascii="Arial" w:hAnsi="Arial" w:cs="Arial"/>
                <w:sz w:val="20"/>
                <w:szCs w:val="20"/>
              </w:rPr>
              <w:t>е</w:t>
            </w:r>
            <w:r w:rsidRPr="009F02F9">
              <w:rPr>
                <w:rFonts w:ascii="Arial" w:hAnsi="Arial" w:cs="Arial"/>
                <w:sz w:val="20"/>
                <w:szCs w:val="20"/>
              </w:rPr>
              <w:t xml:space="preserve"> </w:t>
            </w:r>
            <w:r w:rsidRPr="007D196A">
              <w:rPr>
                <w:rFonts w:ascii="Arial" w:hAnsi="Arial" w:cs="Arial"/>
                <w:sz w:val="20"/>
                <w:szCs w:val="20"/>
              </w:rPr>
              <w:t xml:space="preserve">Банка </w:t>
            </w:r>
            <w:r w:rsidRPr="009F02F9">
              <w:rPr>
                <w:rFonts w:ascii="Arial" w:hAnsi="Arial" w:cs="Arial"/>
                <w:sz w:val="20"/>
                <w:szCs w:val="20"/>
              </w:rPr>
              <w:t xml:space="preserve">оплачиваются клиентами в дату оказания услуги, если иное не предусмотрено соответствующим </w:t>
            </w:r>
            <w:r w:rsidRPr="007D196A">
              <w:rPr>
                <w:rFonts w:ascii="Arial" w:hAnsi="Arial" w:cs="Arial"/>
                <w:sz w:val="20"/>
                <w:szCs w:val="20"/>
              </w:rPr>
              <w:t>Т</w:t>
            </w:r>
            <w:r w:rsidRPr="009F02F9">
              <w:rPr>
                <w:rFonts w:ascii="Arial" w:hAnsi="Arial" w:cs="Arial"/>
                <w:sz w:val="20"/>
                <w:szCs w:val="20"/>
              </w:rPr>
              <w:t>арифом или примечанием к нему. В случае недостаточности средств на счете клиента для оплаты вознаграждения, услуга не оказывается</w:t>
            </w:r>
            <w:r w:rsidRPr="007D196A">
              <w:rPr>
                <w:rFonts w:ascii="Arial" w:hAnsi="Arial" w:cs="Arial"/>
                <w:sz w:val="20"/>
                <w:szCs w:val="20"/>
              </w:rPr>
              <w:t>.</w:t>
            </w:r>
          </w:p>
          <w:p w14:paraId="4EED4F93" w14:textId="7B8A0687" w:rsidR="007D196A" w:rsidRPr="007D196A" w:rsidRDefault="007D196A" w:rsidP="007D196A">
            <w:pPr>
              <w:spacing w:line="276" w:lineRule="auto"/>
              <w:ind w:firstLine="567"/>
              <w:jc w:val="both"/>
              <w:rPr>
                <w:rFonts w:ascii="Arial" w:hAnsi="Arial" w:cs="Arial"/>
                <w:sz w:val="20"/>
                <w:szCs w:val="20"/>
              </w:rPr>
            </w:pPr>
            <w:r w:rsidRPr="007D196A">
              <w:rPr>
                <w:rFonts w:cstheme="minorHAnsi"/>
                <w:sz w:val="20"/>
                <w:szCs w:val="20"/>
              </w:rPr>
              <w:t xml:space="preserve">3. </w:t>
            </w:r>
            <w:r w:rsidRPr="009F02F9">
              <w:rPr>
                <w:rFonts w:ascii="Arial" w:hAnsi="Arial" w:cs="Arial"/>
                <w:sz w:val="20"/>
                <w:szCs w:val="20"/>
              </w:rPr>
              <w:t xml:space="preserve">Размеры и ставки вознаграждений могут быть изменены </w:t>
            </w:r>
            <w:r w:rsidRPr="007D196A">
              <w:rPr>
                <w:rFonts w:ascii="Arial" w:hAnsi="Arial" w:cs="Arial"/>
                <w:sz w:val="20"/>
                <w:szCs w:val="20"/>
              </w:rPr>
              <w:t>Банком</w:t>
            </w:r>
            <w:r w:rsidRPr="009F02F9">
              <w:rPr>
                <w:rFonts w:ascii="Arial" w:hAnsi="Arial" w:cs="Arial"/>
                <w:sz w:val="20"/>
                <w:szCs w:val="20"/>
              </w:rPr>
              <w:t xml:space="preserve"> с предварительным уведомлением клиентов, если иное не установлено </w:t>
            </w:r>
            <w:r w:rsidRPr="007D196A">
              <w:rPr>
                <w:rFonts w:ascii="Arial" w:hAnsi="Arial" w:cs="Arial"/>
                <w:sz w:val="20"/>
                <w:szCs w:val="20"/>
              </w:rPr>
              <w:t>Д</w:t>
            </w:r>
            <w:r w:rsidRPr="009F02F9">
              <w:rPr>
                <w:rFonts w:ascii="Arial" w:hAnsi="Arial" w:cs="Arial"/>
                <w:sz w:val="20"/>
                <w:szCs w:val="20"/>
              </w:rPr>
              <w:t>оговором.</w:t>
            </w:r>
          </w:p>
          <w:p w14:paraId="439BF02C" w14:textId="77777777" w:rsidR="007D196A" w:rsidRPr="007D196A" w:rsidRDefault="007D196A" w:rsidP="007D196A">
            <w:pPr>
              <w:spacing w:line="276" w:lineRule="auto"/>
              <w:ind w:firstLine="567"/>
              <w:jc w:val="both"/>
              <w:rPr>
                <w:rFonts w:ascii="Arial" w:hAnsi="Arial" w:cs="Arial"/>
                <w:sz w:val="20"/>
                <w:szCs w:val="20"/>
              </w:rPr>
            </w:pPr>
            <w:r w:rsidRPr="007D196A">
              <w:rPr>
                <w:rFonts w:cstheme="minorHAnsi"/>
                <w:sz w:val="20"/>
                <w:szCs w:val="20"/>
              </w:rPr>
              <w:t xml:space="preserve">4. </w:t>
            </w:r>
            <w:r w:rsidRPr="009F02F9">
              <w:rPr>
                <w:rFonts w:ascii="Arial" w:hAnsi="Arial" w:cs="Arial"/>
                <w:sz w:val="20"/>
                <w:szCs w:val="20"/>
              </w:rPr>
              <w:t>Вознаграждения банков-контрагентов (третьих банков), другие дополнительные расходы по исполнению поручений клиентов возмещаются (оплачиваются) клиентами по фактической стоимости произведенных расходов.</w:t>
            </w:r>
          </w:p>
          <w:p w14:paraId="546A6442" w14:textId="77777777" w:rsidR="007D196A" w:rsidRPr="007D196A" w:rsidRDefault="007D196A" w:rsidP="007D196A">
            <w:pPr>
              <w:spacing w:line="276" w:lineRule="auto"/>
              <w:ind w:firstLine="567"/>
              <w:jc w:val="both"/>
              <w:rPr>
                <w:rFonts w:ascii="Arial" w:hAnsi="Arial" w:cs="Arial"/>
                <w:sz w:val="20"/>
                <w:szCs w:val="20"/>
              </w:rPr>
            </w:pPr>
            <w:r w:rsidRPr="007D196A">
              <w:rPr>
                <w:rFonts w:cstheme="minorHAnsi"/>
                <w:sz w:val="20"/>
                <w:szCs w:val="20"/>
              </w:rPr>
              <w:t xml:space="preserve">5. </w:t>
            </w:r>
            <w:r w:rsidRPr="009F02F9">
              <w:rPr>
                <w:rFonts w:ascii="Arial" w:hAnsi="Arial" w:cs="Arial"/>
                <w:sz w:val="20"/>
                <w:szCs w:val="20"/>
              </w:rPr>
              <w:t>При исполнении расчетных документов по осуществлению платежей в бюджетную систему Российской Федерации (в т.ч. налоги, сборы, пени, штрафы, таможенные платежи, безвозмездные перечисления на счета бюджетов всех уровней), страховые взносы, а также пени и штрафы в государственные и другие внебюджетные фонды (в т.ч. Пенсионный Фонд РФ, Фонд социального страхования РФ, Федеральный и территориальные фонды обязательного медицинского страхования, Фонды социальной поддержки населения и т.д.), при перечислении (зачислении) добровольных взносов в пользу благотворительных фондов вознаграждение не взимается.</w:t>
            </w:r>
          </w:p>
          <w:p w14:paraId="0E853700" w14:textId="77777777" w:rsidR="007D196A" w:rsidRDefault="007D196A" w:rsidP="007D196A">
            <w:pPr>
              <w:spacing w:line="276" w:lineRule="auto"/>
              <w:ind w:firstLine="567"/>
              <w:jc w:val="both"/>
              <w:rPr>
                <w:rFonts w:ascii="Arial" w:hAnsi="Arial" w:cs="Arial"/>
                <w:sz w:val="20"/>
                <w:szCs w:val="20"/>
              </w:rPr>
            </w:pPr>
            <w:r w:rsidRPr="007D196A">
              <w:rPr>
                <w:rFonts w:cstheme="minorHAnsi"/>
                <w:sz w:val="20"/>
                <w:szCs w:val="20"/>
              </w:rPr>
              <w:t xml:space="preserve">6. </w:t>
            </w:r>
            <w:r w:rsidRPr="009F02F9">
              <w:rPr>
                <w:rFonts w:ascii="Arial" w:hAnsi="Arial" w:cs="Arial"/>
                <w:sz w:val="20"/>
                <w:szCs w:val="20"/>
              </w:rPr>
              <w:t xml:space="preserve">Удержанное </w:t>
            </w:r>
            <w:r w:rsidRPr="007D196A">
              <w:rPr>
                <w:rFonts w:ascii="Arial" w:hAnsi="Arial" w:cs="Arial"/>
                <w:sz w:val="20"/>
                <w:szCs w:val="20"/>
              </w:rPr>
              <w:t xml:space="preserve">Банком </w:t>
            </w:r>
            <w:r w:rsidRPr="009F02F9">
              <w:rPr>
                <w:rFonts w:ascii="Arial" w:hAnsi="Arial" w:cs="Arial"/>
                <w:sz w:val="20"/>
                <w:szCs w:val="20"/>
              </w:rPr>
              <w:t xml:space="preserve">вознаграждение за оказание услуг клиентам возврату не подлежит, за исключением ошибочно удержанного вознаграждения и тех видов услуг, по которым в договорах предусмотрен возврат вознаграждения.  </w:t>
            </w:r>
          </w:p>
          <w:p w14:paraId="4FA508A2" w14:textId="1E2EF781" w:rsidR="00740231" w:rsidRPr="007D196A" w:rsidRDefault="00740231" w:rsidP="007D196A">
            <w:pPr>
              <w:spacing w:line="276" w:lineRule="auto"/>
              <w:ind w:firstLine="567"/>
              <w:jc w:val="both"/>
              <w:rPr>
                <w:rFonts w:cstheme="minorHAnsi"/>
                <w:sz w:val="20"/>
                <w:szCs w:val="20"/>
              </w:rPr>
            </w:pPr>
            <w:r w:rsidRPr="00740231">
              <w:rPr>
                <w:rFonts w:cstheme="minorHAnsi"/>
                <w:sz w:val="20"/>
                <w:szCs w:val="20"/>
              </w:rPr>
              <w:t>7</w:t>
            </w:r>
            <w:r w:rsidRPr="00740231">
              <w:rPr>
                <w:rFonts w:ascii="Arial" w:hAnsi="Arial" w:cs="Arial"/>
                <w:sz w:val="20"/>
                <w:szCs w:val="20"/>
              </w:rPr>
              <w:t xml:space="preserve">. Любые иные операции и услуги Банка, не указанные в настоящем Тарифе, тарифицируются в соответствии с Разделом 6 Сборника тарифов вознаграждений за услуги, оказываемые </w:t>
            </w:r>
            <w:r w:rsidR="000824D9">
              <w:rPr>
                <w:rFonts w:ascii="Arial" w:hAnsi="Arial" w:cs="Arial"/>
                <w:sz w:val="20"/>
                <w:szCs w:val="20"/>
              </w:rPr>
              <w:t>АО</w:t>
            </w:r>
            <w:r w:rsidRPr="00740231">
              <w:rPr>
                <w:rFonts w:ascii="Arial" w:hAnsi="Arial" w:cs="Arial"/>
                <w:sz w:val="20"/>
                <w:szCs w:val="20"/>
              </w:rPr>
              <w:t xml:space="preserve"> «Банк 131», при условии допустимого применения операций/услуг по банковскому счету типа «С».</w:t>
            </w:r>
          </w:p>
        </w:tc>
        <w:tc>
          <w:tcPr>
            <w:tcW w:w="7871" w:type="dxa"/>
          </w:tcPr>
          <w:p w14:paraId="214FECB8" w14:textId="77777777" w:rsidR="007D196A" w:rsidRPr="00740231" w:rsidRDefault="007D196A" w:rsidP="007D196A">
            <w:pPr>
              <w:spacing w:line="276" w:lineRule="auto"/>
              <w:ind w:firstLine="567"/>
              <w:jc w:val="both"/>
              <w:rPr>
                <w:rFonts w:ascii="Arial" w:hAnsi="Arial" w:cs="Arial"/>
                <w:sz w:val="20"/>
                <w:szCs w:val="20"/>
                <w:lang w:val="en-US"/>
              </w:rPr>
            </w:pPr>
            <w:r w:rsidRPr="00740231">
              <w:rPr>
                <w:rFonts w:ascii="Arial" w:hAnsi="Arial" w:cs="Arial"/>
                <w:sz w:val="20"/>
                <w:szCs w:val="20"/>
                <w:lang w:val="en-US"/>
              </w:rPr>
              <w:t>1. The Bank's remuneration is paid only by bank transfer. The remuneration specified in this Tariff in rubles is charged in rubles of the Russian Federation. The fees specified in this Tariff in foreign currency are charged in the appropriate currency, in rubles at the official exchange rate of the Bank of Russia on the date of payment or other foreign currencies at the official exchange rate (cross-rate) of the Bank of Russia on the date of payment.</w:t>
            </w:r>
          </w:p>
          <w:p w14:paraId="1239047F" w14:textId="3C1B42E7" w:rsidR="007D196A" w:rsidRPr="00740231" w:rsidRDefault="007D196A" w:rsidP="007D196A">
            <w:pPr>
              <w:spacing w:line="276" w:lineRule="auto"/>
              <w:ind w:firstLine="567"/>
              <w:jc w:val="both"/>
              <w:rPr>
                <w:rFonts w:ascii="Arial" w:hAnsi="Arial" w:cs="Arial"/>
                <w:sz w:val="20"/>
                <w:szCs w:val="20"/>
                <w:lang w:val="en-US"/>
              </w:rPr>
            </w:pPr>
            <w:r w:rsidRPr="007D196A">
              <w:rPr>
                <w:rFonts w:ascii="Arial" w:hAnsi="Arial" w:cs="Arial"/>
                <w:sz w:val="20"/>
                <w:szCs w:val="20"/>
                <w:lang w:val="en-US"/>
              </w:rPr>
              <w:t xml:space="preserve">2. The Bank's remuneration is paid by the clients on the date of rendering the service, unless otherwise provided by the relevant Tariff or a note to it. </w:t>
            </w:r>
            <w:r w:rsidRPr="00740231">
              <w:rPr>
                <w:rFonts w:ascii="Arial" w:hAnsi="Arial" w:cs="Arial"/>
                <w:sz w:val="20"/>
                <w:szCs w:val="20"/>
                <w:lang w:val="en-US"/>
              </w:rPr>
              <w:t>In case of insufficient funds on the client's account to pay the remuneration, the service is not provided.</w:t>
            </w:r>
          </w:p>
          <w:p w14:paraId="306E31B6" w14:textId="14085535" w:rsidR="007D196A" w:rsidRPr="00A724D2" w:rsidRDefault="007D196A" w:rsidP="007D196A">
            <w:pPr>
              <w:spacing w:line="276" w:lineRule="auto"/>
              <w:ind w:firstLine="567"/>
              <w:jc w:val="both"/>
              <w:rPr>
                <w:rFonts w:ascii="Arial" w:hAnsi="Arial" w:cs="Arial"/>
                <w:sz w:val="20"/>
                <w:szCs w:val="20"/>
                <w:lang w:val="en-US"/>
              </w:rPr>
            </w:pPr>
            <w:r w:rsidRPr="00A724D2">
              <w:rPr>
                <w:rFonts w:ascii="Arial" w:hAnsi="Arial" w:cs="Arial"/>
                <w:sz w:val="20"/>
                <w:szCs w:val="20"/>
                <w:lang w:val="en-US"/>
              </w:rPr>
              <w:t xml:space="preserve">3. The amounts and rates of remuneration may be changed by the Bank with prior notification to </w:t>
            </w:r>
            <w:r w:rsidR="00A724D2">
              <w:rPr>
                <w:rFonts w:ascii="Arial" w:hAnsi="Arial" w:cs="Arial"/>
                <w:sz w:val="20"/>
                <w:szCs w:val="20"/>
                <w:lang w:val="en-US"/>
              </w:rPr>
              <w:t>c</w:t>
            </w:r>
            <w:r w:rsidR="00A724D2" w:rsidRPr="00A724D2">
              <w:rPr>
                <w:rFonts w:ascii="Arial" w:hAnsi="Arial" w:cs="Arial"/>
                <w:sz w:val="20"/>
                <w:szCs w:val="20"/>
                <w:lang w:val="en-US"/>
              </w:rPr>
              <w:t>lient</w:t>
            </w:r>
            <w:r w:rsidRPr="00A724D2">
              <w:rPr>
                <w:rFonts w:ascii="Arial" w:hAnsi="Arial" w:cs="Arial"/>
                <w:sz w:val="20"/>
                <w:szCs w:val="20"/>
                <w:lang w:val="en-US"/>
              </w:rPr>
              <w:t>s, unless otherwise stipulated by the Agreement.</w:t>
            </w:r>
          </w:p>
          <w:p w14:paraId="0E75E817" w14:textId="77777777" w:rsidR="007D196A" w:rsidRPr="00740231" w:rsidRDefault="007D196A" w:rsidP="007D196A">
            <w:pPr>
              <w:spacing w:line="276" w:lineRule="auto"/>
              <w:ind w:firstLine="567"/>
              <w:jc w:val="both"/>
              <w:rPr>
                <w:rFonts w:ascii="Arial" w:hAnsi="Arial" w:cs="Arial"/>
                <w:sz w:val="20"/>
                <w:szCs w:val="20"/>
                <w:lang w:val="en-US"/>
              </w:rPr>
            </w:pPr>
            <w:r w:rsidRPr="00740231">
              <w:rPr>
                <w:rFonts w:ascii="Arial" w:hAnsi="Arial" w:cs="Arial"/>
                <w:sz w:val="20"/>
                <w:szCs w:val="20"/>
                <w:lang w:val="en-US"/>
              </w:rPr>
              <w:t>4. The remuneration of counterparty banks (third banks) and other additional expenses for the execution of clients' orders are reimbursed (paid) by the clients at the actual cost of the expenses incurred.</w:t>
            </w:r>
          </w:p>
          <w:p w14:paraId="09A2DAD2" w14:textId="77777777" w:rsidR="007D196A" w:rsidRPr="00740231" w:rsidRDefault="007D196A" w:rsidP="007D196A">
            <w:pPr>
              <w:spacing w:line="276" w:lineRule="auto"/>
              <w:ind w:firstLine="567"/>
              <w:jc w:val="both"/>
              <w:rPr>
                <w:rFonts w:ascii="Arial" w:hAnsi="Arial" w:cs="Arial"/>
                <w:sz w:val="20"/>
                <w:szCs w:val="20"/>
                <w:lang w:val="en-US"/>
              </w:rPr>
            </w:pPr>
          </w:p>
          <w:p w14:paraId="5C556D15" w14:textId="3732B590" w:rsidR="007D196A" w:rsidRPr="007D196A" w:rsidRDefault="007D196A" w:rsidP="007D196A">
            <w:pPr>
              <w:spacing w:line="276" w:lineRule="auto"/>
              <w:ind w:firstLine="567"/>
              <w:jc w:val="both"/>
              <w:rPr>
                <w:rFonts w:ascii="Arial" w:hAnsi="Arial" w:cs="Arial"/>
                <w:sz w:val="20"/>
                <w:szCs w:val="20"/>
                <w:lang w:val="en-US"/>
              </w:rPr>
            </w:pPr>
            <w:r w:rsidRPr="007D196A">
              <w:rPr>
                <w:rFonts w:ascii="Arial" w:hAnsi="Arial" w:cs="Arial"/>
                <w:sz w:val="20"/>
                <w:szCs w:val="20"/>
                <w:lang w:val="en-US"/>
              </w:rPr>
              <w:t xml:space="preserve">5. When executing settlement documents for making payments to the budget system of the Russian Federation (including taxes, fees, penalties, fines, </w:t>
            </w:r>
            <w:r w:rsidR="00A724D2">
              <w:rPr>
                <w:rFonts w:ascii="Arial" w:hAnsi="Arial" w:cs="Arial"/>
                <w:sz w:val="20"/>
                <w:szCs w:val="20"/>
                <w:lang w:val="en-US"/>
              </w:rPr>
              <w:t>c</w:t>
            </w:r>
            <w:r w:rsidR="00A724D2" w:rsidRPr="00A724D2">
              <w:rPr>
                <w:rFonts w:ascii="Arial" w:hAnsi="Arial" w:cs="Arial"/>
                <w:sz w:val="20"/>
                <w:szCs w:val="20"/>
                <w:lang w:val="en-US"/>
              </w:rPr>
              <w:t>lient</w:t>
            </w:r>
            <w:r w:rsidRPr="007D196A">
              <w:rPr>
                <w:rFonts w:ascii="Arial" w:hAnsi="Arial" w:cs="Arial"/>
                <w:sz w:val="20"/>
                <w:szCs w:val="20"/>
                <w:lang w:val="en-US"/>
              </w:rPr>
              <w:t>s payments, gratuitous transfers to the accounts of budgets of all levels), insurance premiums, as well as penalties and fines to state and other extra-budgetary funds (including The Pension Fund of the Russian Federation, the Social Insurance Fund of the Russian Federation, Federal and territorial Mandatory Medical Insurance Funds, Social Support Funds, etc.), when transferring (crediting) voluntary contributions in favor of charitable foundations, remuneration is not charged.</w:t>
            </w:r>
          </w:p>
          <w:p w14:paraId="7A305C54" w14:textId="77777777" w:rsidR="007D196A" w:rsidRPr="00A724D2" w:rsidRDefault="007D196A" w:rsidP="007D196A">
            <w:pPr>
              <w:spacing w:line="276" w:lineRule="auto"/>
              <w:ind w:firstLine="567"/>
              <w:jc w:val="both"/>
              <w:rPr>
                <w:rFonts w:ascii="Arial" w:hAnsi="Arial" w:cs="Arial"/>
                <w:sz w:val="20"/>
                <w:szCs w:val="20"/>
                <w:lang w:val="en-US"/>
              </w:rPr>
            </w:pPr>
          </w:p>
          <w:p w14:paraId="38946781" w14:textId="77777777" w:rsidR="007D196A" w:rsidRDefault="007D196A" w:rsidP="007D196A">
            <w:pPr>
              <w:spacing w:line="276" w:lineRule="auto"/>
              <w:ind w:firstLine="567"/>
              <w:jc w:val="both"/>
              <w:rPr>
                <w:rFonts w:ascii="Arial" w:hAnsi="Arial" w:cs="Arial"/>
                <w:sz w:val="20"/>
                <w:szCs w:val="20"/>
                <w:lang w:val="en-US"/>
              </w:rPr>
            </w:pPr>
            <w:r w:rsidRPr="007D196A">
              <w:rPr>
                <w:rFonts w:ascii="Arial" w:hAnsi="Arial" w:cs="Arial"/>
                <w:sz w:val="20"/>
                <w:szCs w:val="20"/>
                <w:lang w:val="en-US"/>
              </w:rPr>
              <w:t xml:space="preserve">6. Remuneration withheld by the Bank for the provision of services to </w:t>
            </w:r>
            <w:r w:rsidR="00A724D2">
              <w:rPr>
                <w:rFonts w:ascii="Arial" w:hAnsi="Arial" w:cs="Arial"/>
                <w:sz w:val="20"/>
                <w:szCs w:val="20"/>
                <w:lang w:val="en-US"/>
              </w:rPr>
              <w:t>c</w:t>
            </w:r>
            <w:r w:rsidR="00A724D2" w:rsidRPr="00A724D2">
              <w:rPr>
                <w:rFonts w:ascii="Arial" w:hAnsi="Arial" w:cs="Arial"/>
                <w:sz w:val="20"/>
                <w:szCs w:val="20"/>
                <w:lang w:val="en-US"/>
              </w:rPr>
              <w:t>lient</w:t>
            </w:r>
            <w:r w:rsidRPr="007D196A">
              <w:rPr>
                <w:rFonts w:ascii="Arial" w:hAnsi="Arial" w:cs="Arial"/>
                <w:sz w:val="20"/>
                <w:szCs w:val="20"/>
                <w:lang w:val="en-US"/>
              </w:rPr>
              <w:t>s is not subject to refund, except for erroneously withheld remuneration and those types of services for which the contracts provide for the return of remuneration.</w:t>
            </w:r>
          </w:p>
          <w:p w14:paraId="0948FBA8" w14:textId="15A19E2F" w:rsidR="00740231" w:rsidRPr="007D196A" w:rsidRDefault="00740231" w:rsidP="007D196A">
            <w:pPr>
              <w:spacing w:line="276" w:lineRule="auto"/>
              <w:ind w:firstLine="567"/>
              <w:jc w:val="both"/>
              <w:rPr>
                <w:rFonts w:ascii="Arial" w:hAnsi="Arial" w:cs="Arial"/>
                <w:sz w:val="20"/>
                <w:szCs w:val="20"/>
                <w:lang w:val="en-US"/>
              </w:rPr>
            </w:pPr>
            <w:r w:rsidRPr="00740231">
              <w:rPr>
                <w:rFonts w:ascii="Arial" w:hAnsi="Arial" w:cs="Arial"/>
                <w:sz w:val="20"/>
                <w:szCs w:val="20"/>
                <w:lang w:val="en-US"/>
              </w:rPr>
              <w:t xml:space="preserve">7. Any other operations and services of the Bank not specified in this Tariff are charged in accordance with Section 6 of the Collection of Remuneration Rates for services provided by Bank 131 </w:t>
            </w:r>
            <w:r w:rsidR="000824D9">
              <w:rPr>
                <w:rFonts w:ascii="Arial" w:hAnsi="Arial" w:cs="Arial"/>
                <w:sz w:val="20"/>
                <w:szCs w:val="20"/>
                <w:lang w:val="en-US"/>
              </w:rPr>
              <w:t>JSC</w:t>
            </w:r>
            <w:r w:rsidRPr="00740231">
              <w:rPr>
                <w:rFonts w:ascii="Arial" w:hAnsi="Arial" w:cs="Arial"/>
                <w:sz w:val="20"/>
                <w:szCs w:val="20"/>
                <w:lang w:val="en-US"/>
              </w:rPr>
              <w:t>, subject to the permissible use of operations/services on a bank account of type "C".</w:t>
            </w:r>
          </w:p>
        </w:tc>
      </w:tr>
    </w:tbl>
    <w:p w14:paraId="040BC3C4" w14:textId="283F3160" w:rsidR="00A705C5" w:rsidRPr="007D196A" w:rsidRDefault="00A705C5" w:rsidP="007D196A">
      <w:pPr>
        <w:ind w:left="360"/>
        <w:jc w:val="both"/>
        <w:rPr>
          <w:rFonts w:cstheme="minorHAnsi"/>
          <w:sz w:val="20"/>
          <w:szCs w:val="20"/>
          <w:lang w:val="en-US"/>
        </w:rPr>
      </w:pPr>
    </w:p>
    <w:p w14:paraId="1B55EC1F" w14:textId="77777777" w:rsidR="007D196A" w:rsidRPr="007D196A" w:rsidRDefault="007D196A" w:rsidP="00A705C5">
      <w:pPr>
        <w:ind w:left="360"/>
        <w:jc w:val="right"/>
        <w:rPr>
          <w:rFonts w:cstheme="minorHAnsi"/>
          <w:sz w:val="20"/>
          <w:szCs w:val="20"/>
          <w:lang w:val="en-US"/>
        </w:rPr>
      </w:pPr>
    </w:p>
    <w:p w14:paraId="5D809CBE" w14:textId="2A0A0F0C" w:rsidR="009F02F9" w:rsidRPr="007D196A" w:rsidRDefault="009F02F9" w:rsidP="00A705C5">
      <w:pPr>
        <w:ind w:left="360"/>
        <w:jc w:val="right"/>
        <w:rPr>
          <w:rFonts w:cstheme="minorHAnsi"/>
          <w:sz w:val="20"/>
          <w:szCs w:val="20"/>
          <w:lang w:val="en-US"/>
        </w:rPr>
      </w:pPr>
    </w:p>
    <w:p w14:paraId="5EF01A05" w14:textId="77777777" w:rsidR="009F02F9" w:rsidRPr="007D196A" w:rsidRDefault="009F02F9" w:rsidP="00A705C5">
      <w:pPr>
        <w:ind w:left="360"/>
        <w:jc w:val="right"/>
        <w:rPr>
          <w:rFonts w:cstheme="minorHAnsi"/>
          <w:sz w:val="20"/>
          <w:szCs w:val="20"/>
          <w:lang w:val="en-US"/>
        </w:rPr>
      </w:pPr>
    </w:p>
    <w:tbl>
      <w:tblPr>
        <w:tblW w:w="15687" w:type="dxa"/>
        <w:tblLook w:val="04A0" w:firstRow="1" w:lastRow="0" w:firstColumn="1" w:lastColumn="0" w:noHBand="0" w:noVBand="1"/>
      </w:tblPr>
      <w:tblGrid>
        <w:gridCol w:w="884"/>
        <w:gridCol w:w="884"/>
        <w:gridCol w:w="8521"/>
        <w:gridCol w:w="3173"/>
        <w:gridCol w:w="2225"/>
      </w:tblGrid>
      <w:tr w:rsidR="002D72F3" w:rsidRPr="00916A2D" w14:paraId="70713BBF" w14:textId="77777777" w:rsidTr="00BB5F69">
        <w:trPr>
          <w:trHeight w:val="510"/>
        </w:trPr>
        <w:tc>
          <w:tcPr>
            <w:tcW w:w="884" w:type="dxa"/>
            <w:vMerge w:val="restart"/>
            <w:tcBorders>
              <w:top w:val="single" w:sz="4" w:space="0" w:color="auto"/>
              <w:left w:val="single" w:sz="4" w:space="0" w:color="auto"/>
              <w:right w:val="single" w:sz="4" w:space="0" w:color="auto"/>
            </w:tcBorders>
            <w:shd w:val="clear" w:color="auto" w:fill="BFBFBF" w:themeFill="background1" w:themeFillShade="BF"/>
            <w:noWrap/>
            <w:vAlign w:val="bottom"/>
          </w:tcPr>
          <w:p w14:paraId="3D31FE26" w14:textId="5C7E6DF0" w:rsidR="002D72F3" w:rsidRPr="00916A2D" w:rsidRDefault="002D72F3" w:rsidP="00F71B69">
            <w:pPr>
              <w:jc w:val="center"/>
              <w:rPr>
                <w:rFonts w:ascii="Arial" w:hAnsi="Arial" w:cs="Arial"/>
                <w:b/>
                <w:bCs/>
                <w:sz w:val="20"/>
                <w:szCs w:val="20"/>
              </w:rPr>
            </w:pPr>
            <w:r w:rsidRPr="00916A2D">
              <w:rPr>
                <w:rFonts w:ascii="Arial" w:hAnsi="Arial" w:cs="Arial"/>
                <w:b/>
                <w:bCs/>
                <w:sz w:val="20"/>
                <w:szCs w:val="20"/>
              </w:rPr>
              <w:t>№ п.</w:t>
            </w:r>
          </w:p>
        </w:tc>
        <w:tc>
          <w:tcPr>
            <w:tcW w:w="884" w:type="dxa"/>
            <w:vMerge w:val="restart"/>
            <w:tcBorders>
              <w:top w:val="single" w:sz="4" w:space="0" w:color="auto"/>
              <w:left w:val="nil"/>
              <w:right w:val="single" w:sz="4" w:space="0" w:color="auto"/>
            </w:tcBorders>
            <w:shd w:val="clear" w:color="auto" w:fill="BFBFBF" w:themeFill="background1" w:themeFillShade="BF"/>
          </w:tcPr>
          <w:p w14:paraId="076933BB" w14:textId="77777777" w:rsidR="002D72F3" w:rsidRPr="00916A2D" w:rsidRDefault="002D72F3" w:rsidP="00F71B69">
            <w:pPr>
              <w:jc w:val="center"/>
              <w:rPr>
                <w:rFonts w:ascii="Arial" w:hAnsi="Arial" w:cs="Arial"/>
                <w:b/>
                <w:bCs/>
                <w:sz w:val="20"/>
                <w:szCs w:val="20"/>
              </w:rPr>
            </w:pPr>
          </w:p>
          <w:p w14:paraId="0DD74B3C" w14:textId="77777777" w:rsidR="002D72F3" w:rsidRPr="00916A2D" w:rsidRDefault="002D72F3" w:rsidP="00F71B69">
            <w:pPr>
              <w:jc w:val="center"/>
              <w:rPr>
                <w:rFonts w:ascii="Arial" w:hAnsi="Arial" w:cs="Arial"/>
                <w:b/>
                <w:bCs/>
                <w:sz w:val="20"/>
                <w:szCs w:val="20"/>
              </w:rPr>
            </w:pPr>
          </w:p>
          <w:p w14:paraId="6EBBC9B4" w14:textId="77777777" w:rsidR="002D72F3" w:rsidRPr="00916A2D" w:rsidRDefault="002D72F3" w:rsidP="00F71B69">
            <w:pPr>
              <w:jc w:val="center"/>
              <w:rPr>
                <w:rFonts w:ascii="Arial" w:hAnsi="Arial" w:cs="Arial"/>
                <w:b/>
                <w:bCs/>
                <w:sz w:val="20"/>
                <w:szCs w:val="20"/>
              </w:rPr>
            </w:pPr>
          </w:p>
          <w:p w14:paraId="141E1ABB" w14:textId="7BD2E25B" w:rsidR="002D72F3" w:rsidRPr="00916A2D" w:rsidRDefault="002D72F3" w:rsidP="00F71B69">
            <w:pPr>
              <w:jc w:val="center"/>
              <w:rPr>
                <w:rFonts w:ascii="Arial" w:hAnsi="Arial" w:cs="Arial"/>
                <w:b/>
                <w:bCs/>
                <w:sz w:val="20"/>
                <w:szCs w:val="20"/>
              </w:rPr>
            </w:pPr>
            <w:r w:rsidRPr="00916A2D">
              <w:rPr>
                <w:rFonts w:ascii="Arial" w:hAnsi="Arial" w:cs="Arial"/>
                <w:b/>
                <w:bCs/>
                <w:sz w:val="20"/>
                <w:szCs w:val="20"/>
              </w:rPr>
              <w:t xml:space="preserve">№ </w:t>
            </w:r>
            <w:proofErr w:type="spellStart"/>
            <w:r w:rsidRPr="00916A2D">
              <w:rPr>
                <w:rFonts w:ascii="Arial" w:hAnsi="Arial" w:cs="Arial"/>
                <w:b/>
                <w:bCs/>
                <w:sz w:val="20"/>
                <w:szCs w:val="20"/>
              </w:rPr>
              <w:t>пп</w:t>
            </w:r>
            <w:proofErr w:type="spellEnd"/>
            <w:r w:rsidRPr="00916A2D">
              <w:rPr>
                <w:rFonts w:ascii="Arial" w:hAnsi="Arial" w:cs="Arial"/>
                <w:b/>
                <w:bCs/>
                <w:sz w:val="20"/>
                <w:szCs w:val="20"/>
              </w:rPr>
              <w:t>.</w:t>
            </w:r>
          </w:p>
        </w:tc>
        <w:tc>
          <w:tcPr>
            <w:tcW w:w="8521"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60A3C436" w14:textId="77777777" w:rsidR="002D72F3" w:rsidRPr="00740231" w:rsidRDefault="002D72F3" w:rsidP="00F71B69">
            <w:pPr>
              <w:jc w:val="center"/>
              <w:rPr>
                <w:rFonts w:ascii="Arial" w:hAnsi="Arial" w:cs="Arial"/>
                <w:b/>
                <w:bCs/>
                <w:sz w:val="20"/>
                <w:szCs w:val="20"/>
                <w:lang w:val="en-US"/>
              </w:rPr>
            </w:pPr>
            <w:r w:rsidRPr="00916A2D">
              <w:rPr>
                <w:rFonts w:ascii="Arial" w:hAnsi="Arial" w:cs="Arial"/>
                <w:b/>
                <w:bCs/>
                <w:sz w:val="20"/>
                <w:szCs w:val="20"/>
              </w:rPr>
              <w:t>Перечень</w:t>
            </w:r>
            <w:r w:rsidRPr="00740231">
              <w:rPr>
                <w:rFonts w:ascii="Arial" w:hAnsi="Arial" w:cs="Arial"/>
                <w:b/>
                <w:bCs/>
                <w:sz w:val="20"/>
                <w:szCs w:val="20"/>
                <w:lang w:val="en-US"/>
              </w:rPr>
              <w:t xml:space="preserve"> </w:t>
            </w:r>
            <w:r w:rsidRPr="00916A2D">
              <w:rPr>
                <w:rFonts w:ascii="Arial" w:hAnsi="Arial" w:cs="Arial"/>
                <w:b/>
                <w:bCs/>
                <w:sz w:val="20"/>
                <w:szCs w:val="20"/>
              </w:rPr>
              <w:t>услуг</w:t>
            </w:r>
            <w:r w:rsidRPr="00740231">
              <w:rPr>
                <w:rFonts w:ascii="Arial" w:hAnsi="Arial" w:cs="Arial"/>
                <w:b/>
                <w:bCs/>
                <w:sz w:val="20"/>
                <w:szCs w:val="20"/>
                <w:lang w:val="en-US"/>
              </w:rPr>
              <w:t xml:space="preserve"> / </w:t>
            </w:r>
            <w:r w:rsidRPr="00916A2D">
              <w:rPr>
                <w:rFonts w:ascii="Arial" w:hAnsi="Arial" w:cs="Arial"/>
                <w:b/>
                <w:bCs/>
                <w:sz w:val="20"/>
                <w:szCs w:val="20"/>
              </w:rPr>
              <w:t>операций</w:t>
            </w:r>
          </w:p>
          <w:p w14:paraId="41EFB9F7" w14:textId="14274FE4" w:rsidR="009F02F9" w:rsidRPr="00740231" w:rsidRDefault="009F02F9" w:rsidP="00F71B69">
            <w:pPr>
              <w:jc w:val="center"/>
              <w:rPr>
                <w:rFonts w:ascii="Arial" w:hAnsi="Arial" w:cs="Arial"/>
                <w:b/>
                <w:bCs/>
                <w:sz w:val="20"/>
                <w:szCs w:val="20"/>
                <w:lang w:val="en-US"/>
              </w:rPr>
            </w:pPr>
            <w:r w:rsidRPr="00740231">
              <w:rPr>
                <w:rFonts w:ascii="Arial" w:hAnsi="Arial" w:cs="Arial"/>
                <w:b/>
                <w:bCs/>
                <w:sz w:val="20"/>
                <w:szCs w:val="20"/>
                <w:lang w:val="en-US"/>
              </w:rPr>
              <w:t>List of services / operations</w:t>
            </w:r>
          </w:p>
        </w:tc>
        <w:tc>
          <w:tcPr>
            <w:tcW w:w="539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6BDC2156" w14:textId="77777777" w:rsidR="002D72F3" w:rsidRPr="00916A2D" w:rsidRDefault="002D72F3" w:rsidP="00F71B69">
            <w:pPr>
              <w:jc w:val="center"/>
              <w:rPr>
                <w:rFonts w:ascii="Arial" w:hAnsi="Arial" w:cs="Arial"/>
                <w:b/>
                <w:bCs/>
                <w:sz w:val="20"/>
                <w:szCs w:val="20"/>
              </w:rPr>
            </w:pPr>
            <w:r w:rsidRPr="00916A2D">
              <w:rPr>
                <w:rFonts w:ascii="Arial" w:hAnsi="Arial" w:cs="Arial"/>
                <w:b/>
                <w:bCs/>
                <w:sz w:val="20"/>
                <w:szCs w:val="20"/>
              </w:rPr>
              <w:t>Размер вознаграждения и срок оплаты</w:t>
            </w:r>
          </w:p>
          <w:p w14:paraId="2D1742FA" w14:textId="19CCDC3E" w:rsidR="009F02F9" w:rsidRPr="00916A2D" w:rsidRDefault="009F02F9" w:rsidP="00F71B69">
            <w:pPr>
              <w:jc w:val="center"/>
              <w:rPr>
                <w:rFonts w:ascii="Arial" w:hAnsi="Arial" w:cs="Arial"/>
                <w:b/>
                <w:bCs/>
                <w:sz w:val="20"/>
                <w:szCs w:val="20"/>
                <w:lang w:val="en-US"/>
              </w:rPr>
            </w:pPr>
            <w:r w:rsidRPr="00916A2D">
              <w:rPr>
                <w:rFonts w:ascii="Arial" w:hAnsi="Arial" w:cs="Arial"/>
                <w:b/>
                <w:bCs/>
                <w:sz w:val="20"/>
                <w:szCs w:val="20"/>
                <w:lang w:val="en-US"/>
              </w:rPr>
              <w:t>Remuneration amount and payment term</w:t>
            </w:r>
          </w:p>
        </w:tc>
      </w:tr>
      <w:tr w:rsidR="002D72F3" w:rsidRPr="00916A2D" w14:paraId="7C0E5092" w14:textId="77777777" w:rsidTr="00BB5F69">
        <w:trPr>
          <w:trHeight w:val="510"/>
        </w:trPr>
        <w:tc>
          <w:tcPr>
            <w:tcW w:w="884" w:type="dxa"/>
            <w:vMerge/>
            <w:tcBorders>
              <w:left w:val="single" w:sz="4" w:space="0" w:color="auto"/>
              <w:bottom w:val="single" w:sz="4" w:space="0" w:color="auto"/>
              <w:right w:val="single" w:sz="4" w:space="0" w:color="auto"/>
            </w:tcBorders>
            <w:shd w:val="clear" w:color="auto" w:fill="BFBFBF" w:themeFill="background1" w:themeFillShade="BF"/>
            <w:noWrap/>
            <w:vAlign w:val="bottom"/>
          </w:tcPr>
          <w:p w14:paraId="48A8D77E" w14:textId="77777777" w:rsidR="002D72F3" w:rsidRPr="00916A2D" w:rsidRDefault="002D72F3" w:rsidP="00F71B69">
            <w:pPr>
              <w:jc w:val="center"/>
              <w:rPr>
                <w:rFonts w:ascii="Arial" w:hAnsi="Arial" w:cs="Arial"/>
                <w:sz w:val="20"/>
                <w:szCs w:val="20"/>
                <w:lang w:val="en-US"/>
              </w:rPr>
            </w:pPr>
          </w:p>
        </w:tc>
        <w:tc>
          <w:tcPr>
            <w:tcW w:w="884" w:type="dxa"/>
            <w:vMerge/>
            <w:tcBorders>
              <w:left w:val="nil"/>
              <w:bottom w:val="single" w:sz="4" w:space="0" w:color="auto"/>
              <w:right w:val="single" w:sz="4" w:space="0" w:color="auto"/>
            </w:tcBorders>
            <w:shd w:val="clear" w:color="auto" w:fill="BFBFBF" w:themeFill="background1" w:themeFillShade="BF"/>
          </w:tcPr>
          <w:p w14:paraId="6F602ABF" w14:textId="77777777" w:rsidR="002D72F3" w:rsidRPr="00916A2D" w:rsidRDefault="002D72F3" w:rsidP="00F71B69">
            <w:pPr>
              <w:jc w:val="center"/>
              <w:rPr>
                <w:rFonts w:ascii="Arial" w:hAnsi="Arial" w:cs="Arial"/>
                <w:b/>
                <w:bCs/>
                <w:sz w:val="20"/>
                <w:szCs w:val="20"/>
                <w:lang w:val="en-US"/>
              </w:rPr>
            </w:pPr>
          </w:p>
        </w:tc>
        <w:tc>
          <w:tcPr>
            <w:tcW w:w="85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05FC947" w14:textId="61F42C9B" w:rsidR="002D72F3" w:rsidRPr="00916A2D" w:rsidRDefault="002D72F3" w:rsidP="00F71B69">
            <w:pPr>
              <w:jc w:val="center"/>
              <w:rPr>
                <w:rFonts w:ascii="Arial" w:hAnsi="Arial" w:cs="Arial"/>
                <w:b/>
                <w:bCs/>
                <w:sz w:val="20"/>
                <w:szCs w:val="20"/>
                <w:lang w:val="en-US"/>
              </w:rPr>
            </w:pPr>
          </w:p>
        </w:tc>
        <w:tc>
          <w:tcPr>
            <w:tcW w:w="317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FEEEB45" w14:textId="77777777" w:rsidR="002D72F3" w:rsidRPr="00916A2D" w:rsidRDefault="002D72F3" w:rsidP="00F71B69">
            <w:pPr>
              <w:jc w:val="center"/>
              <w:rPr>
                <w:rFonts w:ascii="Arial" w:hAnsi="Arial" w:cs="Arial"/>
                <w:b/>
                <w:bCs/>
                <w:sz w:val="20"/>
                <w:szCs w:val="20"/>
              </w:rPr>
            </w:pPr>
            <w:r w:rsidRPr="00916A2D">
              <w:rPr>
                <w:rFonts w:ascii="Arial" w:hAnsi="Arial" w:cs="Arial"/>
                <w:b/>
                <w:bCs/>
                <w:sz w:val="20"/>
                <w:szCs w:val="20"/>
              </w:rPr>
              <w:t>Базовая ставка</w:t>
            </w:r>
          </w:p>
          <w:p w14:paraId="45B96DBA" w14:textId="18E0ED5F" w:rsidR="009F02F9" w:rsidRPr="00916A2D" w:rsidRDefault="009F02F9" w:rsidP="00F71B69">
            <w:pPr>
              <w:jc w:val="center"/>
              <w:rPr>
                <w:rFonts w:ascii="Arial" w:hAnsi="Arial" w:cs="Arial"/>
                <w:b/>
                <w:bCs/>
                <w:sz w:val="20"/>
                <w:szCs w:val="20"/>
              </w:rPr>
            </w:pPr>
            <w:r w:rsidRPr="00916A2D">
              <w:rPr>
                <w:rFonts w:ascii="Arial" w:hAnsi="Arial" w:cs="Arial"/>
                <w:b/>
                <w:bCs/>
                <w:sz w:val="20"/>
                <w:szCs w:val="20"/>
              </w:rPr>
              <w:t xml:space="preserve">Base </w:t>
            </w:r>
            <w:proofErr w:type="spellStart"/>
            <w:r w:rsidRPr="00916A2D">
              <w:rPr>
                <w:rFonts w:ascii="Arial" w:hAnsi="Arial" w:cs="Arial"/>
                <w:b/>
                <w:bCs/>
                <w:sz w:val="20"/>
                <w:szCs w:val="20"/>
              </w:rPr>
              <w:t>rate</w:t>
            </w:r>
            <w:proofErr w:type="spellEnd"/>
          </w:p>
        </w:tc>
        <w:tc>
          <w:tcPr>
            <w:tcW w:w="222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4988432" w14:textId="77777777" w:rsidR="002D72F3" w:rsidRPr="00916A2D" w:rsidRDefault="002D72F3" w:rsidP="00F71B69">
            <w:pPr>
              <w:jc w:val="center"/>
              <w:rPr>
                <w:rFonts w:ascii="Arial" w:hAnsi="Arial" w:cs="Arial"/>
                <w:b/>
                <w:bCs/>
                <w:sz w:val="20"/>
                <w:szCs w:val="20"/>
              </w:rPr>
            </w:pPr>
            <w:r w:rsidRPr="00916A2D">
              <w:rPr>
                <w:rFonts w:ascii="Arial" w:hAnsi="Arial" w:cs="Arial"/>
                <w:b/>
                <w:bCs/>
                <w:sz w:val="20"/>
                <w:szCs w:val="20"/>
              </w:rPr>
              <w:t>Минимум</w:t>
            </w:r>
          </w:p>
          <w:p w14:paraId="75B3569A" w14:textId="45C62A47" w:rsidR="009F02F9" w:rsidRPr="00916A2D" w:rsidRDefault="009F02F9" w:rsidP="00F71B69">
            <w:pPr>
              <w:jc w:val="center"/>
              <w:rPr>
                <w:rFonts w:ascii="Arial" w:hAnsi="Arial" w:cs="Arial"/>
                <w:b/>
                <w:bCs/>
                <w:sz w:val="20"/>
                <w:szCs w:val="20"/>
              </w:rPr>
            </w:pPr>
            <w:proofErr w:type="spellStart"/>
            <w:r w:rsidRPr="00916A2D">
              <w:rPr>
                <w:rFonts w:ascii="Arial" w:hAnsi="Arial" w:cs="Arial"/>
                <w:b/>
                <w:bCs/>
                <w:sz w:val="20"/>
                <w:szCs w:val="20"/>
              </w:rPr>
              <w:t>Minimum</w:t>
            </w:r>
            <w:proofErr w:type="spellEnd"/>
          </w:p>
        </w:tc>
      </w:tr>
      <w:tr w:rsidR="002D72F3" w:rsidRPr="00250818" w14:paraId="46963AC3" w14:textId="77777777" w:rsidTr="00F07A18">
        <w:trPr>
          <w:trHeight w:val="258"/>
        </w:trPr>
        <w:tc>
          <w:tcPr>
            <w:tcW w:w="8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672D43C" w14:textId="40191C91" w:rsidR="002D72F3" w:rsidRPr="00916A2D" w:rsidRDefault="002D72F3" w:rsidP="00F71B69">
            <w:pPr>
              <w:rPr>
                <w:rFonts w:ascii="Arial" w:hAnsi="Arial" w:cs="Arial"/>
                <w:b/>
                <w:bCs/>
                <w:sz w:val="20"/>
                <w:szCs w:val="20"/>
              </w:rPr>
            </w:pPr>
            <w:r w:rsidRPr="00F71B69">
              <w:rPr>
                <w:rFonts w:ascii="Arial" w:hAnsi="Arial" w:cs="Arial"/>
                <w:b/>
                <w:bCs/>
                <w:sz w:val="20"/>
                <w:szCs w:val="20"/>
              </w:rPr>
              <w:t>1.</w:t>
            </w:r>
          </w:p>
        </w:tc>
        <w:tc>
          <w:tcPr>
            <w:tcW w:w="884" w:type="dxa"/>
            <w:tcBorders>
              <w:top w:val="single" w:sz="4" w:space="0" w:color="auto"/>
              <w:left w:val="nil"/>
              <w:bottom w:val="single" w:sz="4" w:space="0" w:color="auto"/>
              <w:right w:val="single" w:sz="4" w:space="0" w:color="auto"/>
            </w:tcBorders>
            <w:shd w:val="clear" w:color="auto" w:fill="D9D9D9" w:themeFill="background1" w:themeFillShade="D9"/>
          </w:tcPr>
          <w:p w14:paraId="4E44C5E8" w14:textId="77777777" w:rsidR="002D72F3" w:rsidRPr="00916A2D" w:rsidRDefault="002D72F3" w:rsidP="00F71B69">
            <w:pPr>
              <w:rPr>
                <w:rFonts w:ascii="Arial" w:hAnsi="Arial" w:cs="Arial"/>
                <w:b/>
                <w:bCs/>
                <w:sz w:val="20"/>
                <w:szCs w:val="20"/>
              </w:rPr>
            </w:pPr>
          </w:p>
        </w:tc>
        <w:tc>
          <w:tcPr>
            <w:tcW w:w="8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36CDDC" w14:textId="77777777" w:rsidR="002D72F3" w:rsidRPr="00740231" w:rsidRDefault="002D72F3" w:rsidP="00F07A18">
            <w:pPr>
              <w:jc w:val="both"/>
              <w:rPr>
                <w:rFonts w:ascii="Arial" w:hAnsi="Arial" w:cs="Arial"/>
                <w:b/>
                <w:bCs/>
                <w:sz w:val="20"/>
                <w:szCs w:val="20"/>
                <w:lang w:val="en-US"/>
              </w:rPr>
            </w:pPr>
            <w:r w:rsidRPr="00916A2D">
              <w:rPr>
                <w:rFonts w:ascii="Arial" w:hAnsi="Arial" w:cs="Arial"/>
                <w:b/>
                <w:bCs/>
                <w:sz w:val="20"/>
                <w:szCs w:val="20"/>
              </w:rPr>
              <w:t>Открытие</w:t>
            </w:r>
            <w:r w:rsidRPr="00740231">
              <w:rPr>
                <w:rFonts w:ascii="Arial" w:hAnsi="Arial" w:cs="Arial"/>
                <w:b/>
                <w:bCs/>
                <w:sz w:val="20"/>
                <w:szCs w:val="20"/>
                <w:lang w:val="en-US"/>
              </w:rPr>
              <w:t xml:space="preserve"> </w:t>
            </w:r>
            <w:r w:rsidRPr="00916A2D">
              <w:rPr>
                <w:rFonts w:ascii="Arial" w:hAnsi="Arial" w:cs="Arial"/>
                <w:b/>
                <w:bCs/>
                <w:sz w:val="20"/>
                <w:szCs w:val="20"/>
              </w:rPr>
              <w:t>счет</w:t>
            </w:r>
            <w:r w:rsidR="002F50CD" w:rsidRPr="00916A2D">
              <w:rPr>
                <w:rFonts w:ascii="Arial" w:hAnsi="Arial" w:cs="Arial"/>
                <w:b/>
                <w:bCs/>
                <w:sz w:val="20"/>
                <w:szCs w:val="20"/>
              </w:rPr>
              <w:t>а</w:t>
            </w:r>
          </w:p>
          <w:p w14:paraId="3F693364" w14:textId="447A406E" w:rsidR="007D196A" w:rsidRPr="00740231" w:rsidRDefault="007D196A" w:rsidP="00F07A18">
            <w:pPr>
              <w:jc w:val="both"/>
              <w:rPr>
                <w:rFonts w:ascii="Arial" w:hAnsi="Arial" w:cs="Arial"/>
                <w:sz w:val="20"/>
                <w:szCs w:val="20"/>
                <w:lang w:val="en-US"/>
              </w:rPr>
            </w:pPr>
            <w:r w:rsidRPr="00740231">
              <w:rPr>
                <w:rFonts w:ascii="Arial" w:hAnsi="Arial" w:cs="Arial"/>
                <w:sz w:val="20"/>
                <w:szCs w:val="20"/>
                <w:lang w:val="en-US"/>
              </w:rPr>
              <w:t>Opening an account</w:t>
            </w:r>
          </w:p>
        </w:tc>
        <w:tc>
          <w:tcPr>
            <w:tcW w:w="317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E56290" w14:textId="77777777" w:rsidR="002D72F3" w:rsidRPr="00740231" w:rsidRDefault="002D72F3" w:rsidP="00F71B69">
            <w:pPr>
              <w:rPr>
                <w:rFonts w:ascii="Arial" w:hAnsi="Arial" w:cs="Arial"/>
                <w:sz w:val="20"/>
                <w:szCs w:val="20"/>
                <w:lang w:val="en-US"/>
              </w:rPr>
            </w:pPr>
          </w:p>
        </w:tc>
        <w:tc>
          <w:tcPr>
            <w:tcW w:w="222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80302FC" w14:textId="77777777" w:rsidR="002D72F3" w:rsidRPr="00740231" w:rsidRDefault="002D72F3" w:rsidP="00F71B69">
            <w:pPr>
              <w:rPr>
                <w:rFonts w:ascii="Arial" w:hAnsi="Arial" w:cs="Arial"/>
                <w:sz w:val="20"/>
                <w:szCs w:val="20"/>
                <w:lang w:val="en-US"/>
              </w:rPr>
            </w:pPr>
          </w:p>
        </w:tc>
      </w:tr>
      <w:tr w:rsidR="002D72F3" w:rsidRPr="00916A2D" w14:paraId="57ED9259" w14:textId="77777777" w:rsidTr="00F07A18">
        <w:trPr>
          <w:trHeight w:val="262"/>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A3A62" w14:textId="6A1B9B13" w:rsidR="002D72F3" w:rsidRPr="00740231" w:rsidRDefault="002D72F3" w:rsidP="00F71B69">
            <w:pPr>
              <w:rPr>
                <w:rFonts w:ascii="Arial" w:hAnsi="Arial" w:cs="Arial"/>
                <w:b/>
                <w:bCs/>
                <w:sz w:val="20"/>
                <w:szCs w:val="20"/>
                <w:lang w:val="en-US"/>
              </w:rPr>
            </w:pPr>
          </w:p>
        </w:tc>
        <w:tc>
          <w:tcPr>
            <w:tcW w:w="884" w:type="dxa"/>
            <w:tcBorders>
              <w:top w:val="single" w:sz="4" w:space="0" w:color="auto"/>
              <w:left w:val="nil"/>
              <w:bottom w:val="single" w:sz="4" w:space="0" w:color="auto"/>
              <w:right w:val="single" w:sz="4" w:space="0" w:color="auto"/>
            </w:tcBorders>
          </w:tcPr>
          <w:p w14:paraId="6A2C1FF8" w14:textId="14A83183" w:rsidR="002D72F3" w:rsidRPr="00916A2D" w:rsidRDefault="002D72F3" w:rsidP="002D72F3">
            <w:pPr>
              <w:rPr>
                <w:rFonts w:ascii="Arial" w:hAnsi="Arial" w:cs="Arial"/>
                <w:b/>
                <w:bCs/>
                <w:sz w:val="20"/>
                <w:szCs w:val="20"/>
              </w:rPr>
            </w:pPr>
            <w:r w:rsidRPr="00916A2D">
              <w:rPr>
                <w:rFonts w:ascii="Arial" w:hAnsi="Arial" w:cs="Arial"/>
                <w:b/>
                <w:bCs/>
                <w:sz w:val="20"/>
                <w:szCs w:val="20"/>
              </w:rPr>
              <w:t>1.1.</w:t>
            </w:r>
          </w:p>
        </w:tc>
        <w:tc>
          <w:tcPr>
            <w:tcW w:w="8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E763E" w14:textId="77777777" w:rsidR="002D72F3" w:rsidRPr="00916A2D" w:rsidRDefault="002D72F3" w:rsidP="00F07A18">
            <w:pPr>
              <w:jc w:val="both"/>
              <w:rPr>
                <w:rFonts w:ascii="Arial" w:hAnsi="Arial" w:cs="Arial"/>
                <w:sz w:val="20"/>
                <w:szCs w:val="20"/>
              </w:rPr>
            </w:pPr>
            <w:r w:rsidRPr="00F71B69">
              <w:rPr>
                <w:rFonts w:ascii="Arial" w:hAnsi="Arial" w:cs="Arial"/>
                <w:sz w:val="20"/>
                <w:szCs w:val="20"/>
              </w:rPr>
              <w:t xml:space="preserve">Открытие </w:t>
            </w:r>
            <w:r w:rsidRPr="00916A2D">
              <w:rPr>
                <w:rFonts w:ascii="Arial" w:hAnsi="Arial" w:cs="Arial"/>
                <w:sz w:val="20"/>
                <w:szCs w:val="20"/>
              </w:rPr>
              <w:t xml:space="preserve">банковского </w:t>
            </w:r>
            <w:r w:rsidRPr="00F71B69">
              <w:rPr>
                <w:rFonts w:ascii="Arial" w:hAnsi="Arial" w:cs="Arial"/>
                <w:sz w:val="20"/>
                <w:szCs w:val="20"/>
              </w:rPr>
              <w:t xml:space="preserve">счета типа </w:t>
            </w:r>
            <w:r w:rsidRPr="00916A2D">
              <w:rPr>
                <w:rFonts w:ascii="Arial" w:hAnsi="Arial" w:cs="Arial"/>
                <w:sz w:val="20"/>
                <w:szCs w:val="20"/>
              </w:rPr>
              <w:t>«</w:t>
            </w:r>
            <w:r w:rsidRPr="00F71B69">
              <w:rPr>
                <w:rFonts w:ascii="Arial" w:hAnsi="Arial" w:cs="Arial"/>
                <w:sz w:val="20"/>
                <w:szCs w:val="20"/>
              </w:rPr>
              <w:t>С</w:t>
            </w:r>
            <w:r w:rsidRPr="00916A2D">
              <w:rPr>
                <w:rFonts w:ascii="Arial" w:hAnsi="Arial" w:cs="Arial"/>
                <w:sz w:val="20"/>
                <w:szCs w:val="20"/>
              </w:rPr>
              <w:t xml:space="preserve">» </w:t>
            </w:r>
          </w:p>
          <w:p w14:paraId="2F6EBD4F" w14:textId="74829CAD" w:rsidR="007D196A" w:rsidRPr="00F71B69" w:rsidRDefault="007D196A" w:rsidP="00F07A18">
            <w:pPr>
              <w:jc w:val="both"/>
              <w:rPr>
                <w:rFonts w:ascii="Arial" w:hAnsi="Arial" w:cs="Arial"/>
                <w:sz w:val="20"/>
                <w:szCs w:val="20"/>
                <w:lang w:val="en-US"/>
              </w:rPr>
            </w:pPr>
            <w:r w:rsidRPr="00916A2D">
              <w:rPr>
                <w:rFonts w:ascii="Arial" w:hAnsi="Arial" w:cs="Arial"/>
                <w:sz w:val="20"/>
                <w:szCs w:val="20"/>
                <w:lang w:val="en-US"/>
              </w:rPr>
              <w:t>Opening a bank account of type "C"</w:t>
            </w:r>
          </w:p>
        </w:tc>
        <w:tc>
          <w:tcPr>
            <w:tcW w:w="3173" w:type="dxa"/>
            <w:tcBorders>
              <w:top w:val="single" w:sz="4" w:space="0" w:color="auto"/>
              <w:left w:val="nil"/>
              <w:bottom w:val="single" w:sz="4" w:space="0" w:color="auto"/>
              <w:right w:val="single" w:sz="4" w:space="0" w:color="auto"/>
            </w:tcBorders>
            <w:shd w:val="clear" w:color="auto" w:fill="auto"/>
            <w:vAlign w:val="center"/>
            <w:hideMark/>
          </w:tcPr>
          <w:p w14:paraId="46615558" w14:textId="77777777" w:rsidR="002D72F3" w:rsidRPr="00F71B69" w:rsidRDefault="002D72F3" w:rsidP="00F71B69">
            <w:pPr>
              <w:rPr>
                <w:rFonts w:ascii="Arial" w:hAnsi="Arial" w:cs="Arial"/>
                <w:sz w:val="20"/>
                <w:szCs w:val="20"/>
              </w:rPr>
            </w:pPr>
            <w:r w:rsidRPr="00F71B69">
              <w:rPr>
                <w:rFonts w:ascii="Arial" w:hAnsi="Arial" w:cs="Arial"/>
                <w:sz w:val="20"/>
                <w:szCs w:val="20"/>
                <w:lang w:val="en-US"/>
              </w:rPr>
              <w:t xml:space="preserve"> </w:t>
            </w:r>
            <w:r w:rsidRPr="00F71B69">
              <w:rPr>
                <w:rFonts w:ascii="Arial" w:hAnsi="Arial" w:cs="Arial"/>
                <w:sz w:val="20"/>
                <w:szCs w:val="20"/>
              </w:rPr>
              <w:t>Без взимания вознаграждения</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14:paraId="1F13DC0D" w14:textId="77777777" w:rsidR="002D72F3" w:rsidRPr="00F71B69" w:rsidRDefault="002D72F3" w:rsidP="00F71B69">
            <w:pPr>
              <w:rPr>
                <w:rFonts w:ascii="Arial" w:hAnsi="Arial" w:cs="Arial"/>
                <w:sz w:val="20"/>
                <w:szCs w:val="20"/>
              </w:rPr>
            </w:pPr>
            <w:r w:rsidRPr="00F71B69">
              <w:rPr>
                <w:rFonts w:ascii="Arial" w:hAnsi="Arial" w:cs="Arial"/>
                <w:sz w:val="20"/>
                <w:szCs w:val="20"/>
              </w:rPr>
              <w:t> </w:t>
            </w:r>
          </w:p>
        </w:tc>
      </w:tr>
      <w:tr w:rsidR="002D72F3" w:rsidRPr="00916A2D" w14:paraId="44084678" w14:textId="77777777" w:rsidTr="00F07A18">
        <w:trPr>
          <w:trHeight w:val="137"/>
        </w:trPr>
        <w:tc>
          <w:tcPr>
            <w:tcW w:w="88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BD52796" w14:textId="2306E906" w:rsidR="002D72F3" w:rsidRPr="00916A2D" w:rsidRDefault="002D72F3" w:rsidP="002D72F3">
            <w:pPr>
              <w:rPr>
                <w:rFonts w:ascii="Arial" w:hAnsi="Arial" w:cs="Arial"/>
                <w:b/>
                <w:bCs/>
                <w:sz w:val="20"/>
                <w:szCs w:val="20"/>
              </w:rPr>
            </w:pPr>
            <w:r w:rsidRPr="00F71B69">
              <w:rPr>
                <w:rFonts w:ascii="Arial" w:hAnsi="Arial" w:cs="Arial"/>
                <w:b/>
                <w:bCs/>
                <w:sz w:val="20"/>
                <w:szCs w:val="20"/>
              </w:rPr>
              <w:t>2.</w:t>
            </w:r>
          </w:p>
        </w:tc>
        <w:tc>
          <w:tcPr>
            <w:tcW w:w="884" w:type="dxa"/>
            <w:tcBorders>
              <w:top w:val="single" w:sz="4" w:space="0" w:color="auto"/>
              <w:left w:val="nil"/>
              <w:bottom w:val="single" w:sz="4" w:space="0" w:color="auto"/>
              <w:right w:val="single" w:sz="4" w:space="0" w:color="auto"/>
            </w:tcBorders>
            <w:shd w:val="clear" w:color="auto" w:fill="D9D9D9" w:themeFill="background1" w:themeFillShade="D9"/>
          </w:tcPr>
          <w:p w14:paraId="1B5C9523" w14:textId="77777777" w:rsidR="002D72F3" w:rsidRPr="00916A2D" w:rsidRDefault="002D72F3" w:rsidP="002D72F3">
            <w:pPr>
              <w:rPr>
                <w:rFonts w:ascii="Arial" w:hAnsi="Arial" w:cs="Arial"/>
                <w:b/>
                <w:bCs/>
                <w:sz w:val="20"/>
                <w:szCs w:val="20"/>
              </w:rPr>
            </w:pPr>
          </w:p>
        </w:tc>
        <w:tc>
          <w:tcPr>
            <w:tcW w:w="8521" w:type="dxa"/>
            <w:tcBorders>
              <w:top w:val="nil"/>
              <w:left w:val="single" w:sz="4" w:space="0" w:color="auto"/>
              <w:bottom w:val="single" w:sz="4" w:space="0" w:color="auto"/>
              <w:right w:val="single" w:sz="4" w:space="0" w:color="auto"/>
            </w:tcBorders>
            <w:shd w:val="clear" w:color="auto" w:fill="D9D9D9" w:themeFill="background1" w:themeFillShade="D9"/>
          </w:tcPr>
          <w:p w14:paraId="7D69C84A" w14:textId="77777777" w:rsidR="002D72F3" w:rsidRPr="00916A2D" w:rsidRDefault="002D72F3" w:rsidP="00F07A18">
            <w:pPr>
              <w:jc w:val="both"/>
              <w:rPr>
                <w:rFonts w:ascii="Arial" w:hAnsi="Arial" w:cs="Arial"/>
                <w:b/>
                <w:bCs/>
                <w:sz w:val="20"/>
                <w:szCs w:val="20"/>
              </w:rPr>
            </w:pPr>
            <w:r w:rsidRPr="00916A2D">
              <w:rPr>
                <w:rFonts w:ascii="Arial" w:hAnsi="Arial" w:cs="Arial"/>
                <w:b/>
                <w:bCs/>
                <w:sz w:val="20"/>
                <w:szCs w:val="20"/>
              </w:rPr>
              <w:t>Обслуживание счет</w:t>
            </w:r>
            <w:r w:rsidR="002F50CD" w:rsidRPr="00916A2D">
              <w:rPr>
                <w:rFonts w:ascii="Arial" w:hAnsi="Arial" w:cs="Arial"/>
                <w:b/>
                <w:bCs/>
                <w:sz w:val="20"/>
                <w:szCs w:val="20"/>
              </w:rPr>
              <w:t>а</w:t>
            </w:r>
            <w:r w:rsidRPr="00916A2D">
              <w:rPr>
                <w:rFonts w:ascii="Arial" w:hAnsi="Arial" w:cs="Arial"/>
                <w:b/>
                <w:bCs/>
                <w:sz w:val="20"/>
                <w:szCs w:val="20"/>
              </w:rPr>
              <w:t xml:space="preserve"> </w:t>
            </w:r>
          </w:p>
          <w:p w14:paraId="49D22BEB" w14:textId="4C3E9FC7" w:rsidR="007D196A" w:rsidRPr="00916A2D" w:rsidRDefault="007D196A" w:rsidP="00F07A18">
            <w:pPr>
              <w:jc w:val="both"/>
              <w:rPr>
                <w:rFonts w:ascii="Arial" w:hAnsi="Arial" w:cs="Arial"/>
                <w:b/>
                <w:bCs/>
                <w:sz w:val="20"/>
                <w:szCs w:val="20"/>
              </w:rPr>
            </w:pPr>
            <w:proofErr w:type="spellStart"/>
            <w:r w:rsidRPr="00916A2D">
              <w:rPr>
                <w:rFonts w:ascii="Arial" w:hAnsi="Arial" w:cs="Arial"/>
                <w:b/>
                <w:bCs/>
                <w:sz w:val="20"/>
                <w:szCs w:val="20"/>
              </w:rPr>
              <w:t>Account</w:t>
            </w:r>
            <w:proofErr w:type="spellEnd"/>
            <w:r w:rsidRPr="00916A2D">
              <w:rPr>
                <w:rFonts w:ascii="Arial" w:hAnsi="Arial" w:cs="Arial"/>
                <w:b/>
                <w:bCs/>
                <w:sz w:val="20"/>
                <w:szCs w:val="20"/>
              </w:rPr>
              <w:t xml:space="preserve"> </w:t>
            </w:r>
            <w:proofErr w:type="spellStart"/>
            <w:r w:rsidRPr="00916A2D">
              <w:rPr>
                <w:rFonts w:ascii="Arial" w:hAnsi="Arial" w:cs="Arial"/>
                <w:b/>
                <w:bCs/>
                <w:sz w:val="20"/>
                <w:szCs w:val="20"/>
              </w:rPr>
              <w:t>maintenance</w:t>
            </w:r>
            <w:proofErr w:type="spellEnd"/>
          </w:p>
        </w:tc>
        <w:tc>
          <w:tcPr>
            <w:tcW w:w="3173" w:type="dxa"/>
            <w:tcBorders>
              <w:top w:val="nil"/>
              <w:left w:val="nil"/>
              <w:bottom w:val="single" w:sz="4" w:space="0" w:color="auto"/>
              <w:right w:val="single" w:sz="4" w:space="0" w:color="auto"/>
            </w:tcBorders>
            <w:shd w:val="clear" w:color="auto" w:fill="D9D9D9" w:themeFill="background1" w:themeFillShade="D9"/>
            <w:vAlign w:val="center"/>
          </w:tcPr>
          <w:p w14:paraId="1EEBA5CC" w14:textId="77777777" w:rsidR="002D72F3" w:rsidRPr="00916A2D" w:rsidRDefault="002D72F3" w:rsidP="002D72F3">
            <w:pPr>
              <w:rPr>
                <w:rFonts w:ascii="Arial" w:hAnsi="Arial" w:cs="Arial"/>
                <w:b/>
                <w:bCs/>
                <w:sz w:val="20"/>
                <w:szCs w:val="20"/>
              </w:rPr>
            </w:pPr>
          </w:p>
        </w:tc>
        <w:tc>
          <w:tcPr>
            <w:tcW w:w="2225" w:type="dxa"/>
            <w:tcBorders>
              <w:top w:val="nil"/>
              <w:left w:val="nil"/>
              <w:bottom w:val="single" w:sz="4" w:space="0" w:color="auto"/>
              <w:right w:val="single" w:sz="4" w:space="0" w:color="auto"/>
            </w:tcBorders>
            <w:shd w:val="clear" w:color="auto" w:fill="D9D9D9" w:themeFill="background1" w:themeFillShade="D9"/>
            <w:vAlign w:val="center"/>
          </w:tcPr>
          <w:p w14:paraId="51444B44" w14:textId="77777777" w:rsidR="002D72F3" w:rsidRPr="00916A2D" w:rsidRDefault="002D72F3" w:rsidP="002D72F3">
            <w:pPr>
              <w:rPr>
                <w:rFonts w:ascii="Arial" w:hAnsi="Arial" w:cs="Arial"/>
                <w:b/>
                <w:bCs/>
                <w:sz w:val="20"/>
                <w:szCs w:val="20"/>
              </w:rPr>
            </w:pPr>
          </w:p>
        </w:tc>
      </w:tr>
      <w:tr w:rsidR="002D72F3" w:rsidRPr="00916A2D" w14:paraId="1E204809" w14:textId="77777777" w:rsidTr="00BB5F69">
        <w:trPr>
          <w:trHeight w:val="51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50143FF1" w14:textId="005048D6" w:rsidR="002D72F3" w:rsidRPr="00F71B69" w:rsidRDefault="002D72F3" w:rsidP="002D72F3">
            <w:pPr>
              <w:rPr>
                <w:rFonts w:ascii="Arial" w:hAnsi="Arial" w:cs="Arial"/>
                <w:b/>
                <w:bCs/>
                <w:sz w:val="20"/>
                <w:szCs w:val="20"/>
              </w:rPr>
            </w:pPr>
          </w:p>
        </w:tc>
        <w:tc>
          <w:tcPr>
            <w:tcW w:w="884" w:type="dxa"/>
            <w:tcBorders>
              <w:top w:val="single" w:sz="4" w:space="0" w:color="auto"/>
              <w:left w:val="nil"/>
              <w:bottom w:val="single" w:sz="4" w:space="0" w:color="auto"/>
              <w:right w:val="single" w:sz="4" w:space="0" w:color="auto"/>
            </w:tcBorders>
          </w:tcPr>
          <w:p w14:paraId="7B51D99A" w14:textId="00E08C09" w:rsidR="002D72F3" w:rsidRPr="00916A2D" w:rsidRDefault="002D72F3" w:rsidP="002D72F3">
            <w:pPr>
              <w:rPr>
                <w:rFonts w:ascii="Arial" w:hAnsi="Arial" w:cs="Arial"/>
                <w:b/>
                <w:bCs/>
                <w:sz w:val="20"/>
                <w:szCs w:val="20"/>
              </w:rPr>
            </w:pPr>
            <w:r w:rsidRPr="00916A2D">
              <w:rPr>
                <w:rFonts w:ascii="Arial" w:hAnsi="Arial" w:cs="Arial"/>
                <w:b/>
                <w:bCs/>
                <w:sz w:val="20"/>
                <w:szCs w:val="20"/>
              </w:rPr>
              <w:t>2.1</w:t>
            </w:r>
          </w:p>
        </w:tc>
        <w:tc>
          <w:tcPr>
            <w:tcW w:w="8521" w:type="dxa"/>
            <w:tcBorders>
              <w:top w:val="nil"/>
              <w:left w:val="single" w:sz="4" w:space="0" w:color="auto"/>
              <w:bottom w:val="single" w:sz="4" w:space="0" w:color="auto"/>
              <w:right w:val="single" w:sz="4" w:space="0" w:color="auto"/>
            </w:tcBorders>
            <w:shd w:val="clear" w:color="auto" w:fill="auto"/>
            <w:vAlign w:val="center"/>
            <w:hideMark/>
          </w:tcPr>
          <w:p w14:paraId="57B626B1" w14:textId="77777777" w:rsidR="002D72F3" w:rsidRPr="00916A2D" w:rsidRDefault="002D72F3" w:rsidP="00F07A18">
            <w:pPr>
              <w:jc w:val="both"/>
              <w:rPr>
                <w:rFonts w:ascii="Arial" w:hAnsi="Arial" w:cs="Arial"/>
                <w:sz w:val="20"/>
                <w:szCs w:val="20"/>
              </w:rPr>
            </w:pPr>
            <w:r w:rsidRPr="00F71B69">
              <w:rPr>
                <w:rFonts w:ascii="Arial" w:hAnsi="Arial" w:cs="Arial"/>
                <w:sz w:val="20"/>
                <w:szCs w:val="20"/>
              </w:rPr>
              <w:t xml:space="preserve">Обслуживание </w:t>
            </w:r>
            <w:r w:rsidRPr="00916A2D">
              <w:rPr>
                <w:rFonts w:ascii="Arial" w:hAnsi="Arial" w:cs="Arial"/>
                <w:sz w:val="20"/>
                <w:szCs w:val="20"/>
              </w:rPr>
              <w:t xml:space="preserve">банковского </w:t>
            </w:r>
            <w:r w:rsidRPr="00F71B69">
              <w:rPr>
                <w:rFonts w:ascii="Arial" w:hAnsi="Arial" w:cs="Arial"/>
                <w:sz w:val="20"/>
                <w:szCs w:val="20"/>
              </w:rPr>
              <w:t xml:space="preserve">счета типа </w:t>
            </w:r>
            <w:r w:rsidRPr="00916A2D">
              <w:rPr>
                <w:rFonts w:ascii="Arial" w:hAnsi="Arial" w:cs="Arial"/>
                <w:sz w:val="20"/>
                <w:szCs w:val="20"/>
              </w:rPr>
              <w:t>«</w:t>
            </w:r>
            <w:r w:rsidRPr="00F71B69">
              <w:rPr>
                <w:rFonts w:ascii="Arial" w:hAnsi="Arial" w:cs="Arial"/>
                <w:sz w:val="20"/>
                <w:szCs w:val="20"/>
              </w:rPr>
              <w:t>С</w:t>
            </w:r>
            <w:r w:rsidRPr="00916A2D">
              <w:rPr>
                <w:rFonts w:ascii="Arial" w:hAnsi="Arial" w:cs="Arial"/>
                <w:sz w:val="20"/>
                <w:szCs w:val="20"/>
              </w:rPr>
              <w:t>» подключенного к системе дистанционного банковского облуживания «Интернет-</w:t>
            </w:r>
            <w:r w:rsidR="00BA6609" w:rsidRPr="00916A2D">
              <w:rPr>
                <w:rFonts w:ascii="Arial" w:hAnsi="Arial" w:cs="Arial"/>
                <w:sz w:val="20"/>
                <w:szCs w:val="20"/>
              </w:rPr>
              <w:t>Клиент</w:t>
            </w:r>
            <w:r w:rsidRPr="00916A2D">
              <w:rPr>
                <w:rFonts w:ascii="Arial" w:hAnsi="Arial" w:cs="Arial"/>
                <w:sz w:val="20"/>
                <w:szCs w:val="20"/>
              </w:rPr>
              <w:t>»</w:t>
            </w:r>
          </w:p>
          <w:p w14:paraId="33E5D1B3" w14:textId="01DD3653" w:rsidR="007D196A" w:rsidRPr="00F71B69" w:rsidRDefault="007D196A" w:rsidP="00F07A18">
            <w:pPr>
              <w:jc w:val="both"/>
              <w:rPr>
                <w:rFonts w:ascii="Arial" w:hAnsi="Arial" w:cs="Arial"/>
                <w:sz w:val="20"/>
                <w:szCs w:val="20"/>
                <w:lang w:val="en-US"/>
              </w:rPr>
            </w:pPr>
            <w:r w:rsidRPr="00916A2D">
              <w:rPr>
                <w:rFonts w:ascii="Arial" w:hAnsi="Arial" w:cs="Arial"/>
                <w:sz w:val="20"/>
                <w:szCs w:val="20"/>
                <w:lang w:val="en-US"/>
              </w:rPr>
              <w:t>Maintenance of a bank account of type "C" connected to the remote banking service system "Internet Client"</w:t>
            </w:r>
          </w:p>
        </w:tc>
        <w:tc>
          <w:tcPr>
            <w:tcW w:w="3173" w:type="dxa"/>
            <w:tcBorders>
              <w:top w:val="nil"/>
              <w:left w:val="nil"/>
              <w:bottom w:val="single" w:sz="4" w:space="0" w:color="auto"/>
              <w:right w:val="single" w:sz="4" w:space="0" w:color="auto"/>
            </w:tcBorders>
            <w:shd w:val="clear" w:color="auto" w:fill="auto"/>
            <w:vAlign w:val="center"/>
            <w:hideMark/>
          </w:tcPr>
          <w:p w14:paraId="12AA8F01" w14:textId="77777777" w:rsidR="002D72F3" w:rsidRPr="00F71B69" w:rsidRDefault="002D72F3" w:rsidP="002D72F3">
            <w:pPr>
              <w:rPr>
                <w:rFonts w:ascii="Arial" w:hAnsi="Arial" w:cs="Arial"/>
                <w:sz w:val="20"/>
                <w:szCs w:val="20"/>
              </w:rPr>
            </w:pPr>
            <w:r w:rsidRPr="00F71B69">
              <w:rPr>
                <w:rFonts w:ascii="Arial" w:hAnsi="Arial" w:cs="Arial"/>
                <w:sz w:val="20"/>
                <w:szCs w:val="20"/>
                <w:lang w:val="en-US"/>
              </w:rPr>
              <w:t xml:space="preserve"> </w:t>
            </w:r>
            <w:r w:rsidRPr="00F71B69">
              <w:rPr>
                <w:rFonts w:ascii="Arial" w:hAnsi="Arial" w:cs="Arial"/>
                <w:sz w:val="20"/>
                <w:szCs w:val="20"/>
              </w:rPr>
              <w:t>Без взимания вознаграждения</w:t>
            </w:r>
          </w:p>
        </w:tc>
        <w:tc>
          <w:tcPr>
            <w:tcW w:w="2225" w:type="dxa"/>
            <w:tcBorders>
              <w:top w:val="nil"/>
              <w:left w:val="nil"/>
              <w:bottom w:val="single" w:sz="4" w:space="0" w:color="auto"/>
              <w:right w:val="single" w:sz="4" w:space="0" w:color="auto"/>
            </w:tcBorders>
            <w:shd w:val="clear" w:color="auto" w:fill="auto"/>
            <w:vAlign w:val="center"/>
            <w:hideMark/>
          </w:tcPr>
          <w:p w14:paraId="343CDE13" w14:textId="77777777" w:rsidR="002D72F3" w:rsidRPr="00F71B69" w:rsidRDefault="002D72F3" w:rsidP="002D72F3">
            <w:pPr>
              <w:rPr>
                <w:rFonts w:ascii="Arial" w:hAnsi="Arial" w:cs="Arial"/>
                <w:sz w:val="20"/>
                <w:szCs w:val="20"/>
              </w:rPr>
            </w:pPr>
            <w:r w:rsidRPr="00F71B69">
              <w:rPr>
                <w:rFonts w:ascii="Arial" w:hAnsi="Arial" w:cs="Arial"/>
                <w:sz w:val="20"/>
                <w:szCs w:val="20"/>
              </w:rPr>
              <w:t> </w:t>
            </w:r>
          </w:p>
        </w:tc>
      </w:tr>
      <w:tr w:rsidR="007B266B" w:rsidRPr="00250818" w14:paraId="007ED2F3" w14:textId="77777777" w:rsidTr="00F07A18">
        <w:trPr>
          <w:trHeight w:val="92"/>
        </w:trPr>
        <w:tc>
          <w:tcPr>
            <w:tcW w:w="88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10616B5" w14:textId="4561F96B" w:rsidR="007B266B" w:rsidRPr="00916A2D" w:rsidRDefault="007B266B" w:rsidP="002D72F3">
            <w:pPr>
              <w:rPr>
                <w:rFonts w:ascii="Arial" w:hAnsi="Arial" w:cs="Arial"/>
                <w:b/>
                <w:bCs/>
                <w:sz w:val="20"/>
                <w:szCs w:val="20"/>
              </w:rPr>
            </w:pPr>
            <w:r w:rsidRPr="00916A2D">
              <w:rPr>
                <w:rFonts w:ascii="Arial" w:hAnsi="Arial" w:cs="Arial"/>
                <w:b/>
                <w:bCs/>
                <w:sz w:val="20"/>
                <w:szCs w:val="20"/>
              </w:rPr>
              <w:t>3.</w:t>
            </w:r>
          </w:p>
        </w:tc>
        <w:tc>
          <w:tcPr>
            <w:tcW w:w="884" w:type="dxa"/>
            <w:tcBorders>
              <w:top w:val="single" w:sz="4" w:space="0" w:color="auto"/>
              <w:left w:val="nil"/>
              <w:bottom w:val="single" w:sz="4" w:space="0" w:color="auto"/>
              <w:right w:val="single" w:sz="4" w:space="0" w:color="auto"/>
            </w:tcBorders>
            <w:shd w:val="clear" w:color="auto" w:fill="D9D9D9" w:themeFill="background1" w:themeFillShade="D9"/>
          </w:tcPr>
          <w:p w14:paraId="01A1E8C3" w14:textId="77777777" w:rsidR="007B266B" w:rsidRPr="00916A2D" w:rsidRDefault="007B266B" w:rsidP="002D72F3">
            <w:pPr>
              <w:rPr>
                <w:rFonts w:ascii="Arial" w:hAnsi="Arial" w:cs="Arial"/>
                <w:b/>
                <w:bCs/>
                <w:sz w:val="20"/>
                <w:szCs w:val="20"/>
              </w:rPr>
            </w:pPr>
          </w:p>
        </w:tc>
        <w:tc>
          <w:tcPr>
            <w:tcW w:w="852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ECA73CA" w14:textId="77777777" w:rsidR="007B266B" w:rsidRPr="00740231" w:rsidRDefault="007B266B" w:rsidP="00F07A18">
            <w:pPr>
              <w:jc w:val="both"/>
              <w:rPr>
                <w:rFonts w:ascii="Arial" w:hAnsi="Arial" w:cs="Arial"/>
                <w:b/>
                <w:bCs/>
                <w:sz w:val="20"/>
                <w:szCs w:val="20"/>
                <w:lang w:val="en-US"/>
              </w:rPr>
            </w:pPr>
            <w:r w:rsidRPr="00916A2D">
              <w:rPr>
                <w:rFonts w:ascii="Arial" w:hAnsi="Arial" w:cs="Arial"/>
                <w:b/>
                <w:bCs/>
                <w:sz w:val="20"/>
                <w:szCs w:val="20"/>
              </w:rPr>
              <w:t>Закрытие</w:t>
            </w:r>
            <w:r w:rsidRPr="00740231">
              <w:rPr>
                <w:rFonts w:ascii="Arial" w:hAnsi="Arial" w:cs="Arial"/>
                <w:b/>
                <w:bCs/>
                <w:sz w:val="20"/>
                <w:szCs w:val="20"/>
                <w:lang w:val="en-US"/>
              </w:rPr>
              <w:t xml:space="preserve"> </w:t>
            </w:r>
            <w:r w:rsidRPr="00916A2D">
              <w:rPr>
                <w:rFonts w:ascii="Arial" w:hAnsi="Arial" w:cs="Arial"/>
                <w:b/>
                <w:bCs/>
                <w:sz w:val="20"/>
                <w:szCs w:val="20"/>
              </w:rPr>
              <w:t>счет</w:t>
            </w:r>
            <w:r w:rsidR="002F50CD" w:rsidRPr="00916A2D">
              <w:rPr>
                <w:rFonts w:ascii="Arial" w:hAnsi="Arial" w:cs="Arial"/>
                <w:b/>
                <w:bCs/>
                <w:sz w:val="20"/>
                <w:szCs w:val="20"/>
              </w:rPr>
              <w:t>а</w:t>
            </w:r>
          </w:p>
          <w:p w14:paraId="3B6B2D7F" w14:textId="703DB580" w:rsidR="007D196A" w:rsidRPr="00740231" w:rsidRDefault="007D196A" w:rsidP="00F07A18">
            <w:pPr>
              <w:jc w:val="both"/>
              <w:rPr>
                <w:rFonts w:ascii="Arial" w:hAnsi="Arial" w:cs="Arial"/>
                <w:b/>
                <w:bCs/>
                <w:sz w:val="20"/>
                <w:szCs w:val="20"/>
                <w:lang w:val="en-US"/>
              </w:rPr>
            </w:pPr>
            <w:r w:rsidRPr="00740231">
              <w:rPr>
                <w:rFonts w:ascii="Arial" w:hAnsi="Arial" w:cs="Arial"/>
                <w:b/>
                <w:bCs/>
                <w:sz w:val="20"/>
                <w:szCs w:val="20"/>
                <w:lang w:val="en-US"/>
              </w:rPr>
              <w:t>Closing an account</w:t>
            </w:r>
          </w:p>
        </w:tc>
        <w:tc>
          <w:tcPr>
            <w:tcW w:w="3173" w:type="dxa"/>
            <w:tcBorders>
              <w:top w:val="nil"/>
              <w:left w:val="nil"/>
              <w:bottom w:val="single" w:sz="4" w:space="0" w:color="auto"/>
              <w:right w:val="single" w:sz="4" w:space="0" w:color="auto"/>
            </w:tcBorders>
            <w:shd w:val="clear" w:color="auto" w:fill="D9D9D9" w:themeFill="background1" w:themeFillShade="D9"/>
            <w:vAlign w:val="center"/>
          </w:tcPr>
          <w:p w14:paraId="19BD44DF" w14:textId="77777777" w:rsidR="007B266B" w:rsidRPr="00740231" w:rsidRDefault="007B266B" w:rsidP="002D72F3">
            <w:pPr>
              <w:rPr>
                <w:rFonts w:ascii="Arial" w:hAnsi="Arial" w:cs="Arial"/>
                <w:b/>
                <w:bCs/>
                <w:sz w:val="20"/>
                <w:szCs w:val="20"/>
                <w:lang w:val="en-US"/>
              </w:rPr>
            </w:pPr>
          </w:p>
        </w:tc>
        <w:tc>
          <w:tcPr>
            <w:tcW w:w="2225" w:type="dxa"/>
            <w:tcBorders>
              <w:top w:val="nil"/>
              <w:left w:val="nil"/>
              <w:bottom w:val="single" w:sz="4" w:space="0" w:color="auto"/>
              <w:right w:val="single" w:sz="4" w:space="0" w:color="auto"/>
            </w:tcBorders>
            <w:shd w:val="clear" w:color="auto" w:fill="D9D9D9" w:themeFill="background1" w:themeFillShade="D9"/>
            <w:vAlign w:val="center"/>
          </w:tcPr>
          <w:p w14:paraId="0D07D4E3" w14:textId="77777777" w:rsidR="007B266B" w:rsidRPr="00740231" w:rsidRDefault="007B266B" w:rsidP="002D72F3">
            <w:pPr>
              <w:rPr>
                <w:rFonts w:ascii="Arial" w:hAnsi="Arial" w:cs="Arial"/>
                <w:b/>
                <w:bCs/>
                <w:sz w:val="20"/>
                <w:szCs w:val="20"/>
                <w:lang w:val="en-US"/>
              </w:rPr>
            </w:pPr>
          </w:p>
        </w:tc>
      </w:tr>
      <w:tr w:rsidR="007B266B" w:rsidRPr="00916A2D" w14:paraId="6003706E" w14:textId="77777777" w:rsidTr="00BB5F69">
        <w:trPr>
          <w:trHeight w:val="510"/>
        </w:trPr>
        <w:tc>
          <w:tcPr>
            <w:tcW w:w="884" w:type="dxa"/>
            <w:tcBorders>
              <w:top w:val="nil"/>
              <w:left w:val="single" w:sz="4" w:space="0" w:color="auto"/>
              <w:bottom w:val="single" w:sz="4" w:space="0" w:color="auto"/>
              <w:right w:val="single" w:sz="4" w:space="0" w:color="auto"/>
            </w:tcBorders>
            <w:shd w:val="clear" w:color="auto" w:fill="auto"/>
            <w:noWrap/>
            <w:vAlign w:val="bottom"/>
          </w:tcPr>
          <w:p w14:paraId="0E491964" w14:textId="77777777" w:rsidR="007B266B" w:rsidRPr="00916A2D" w:rsidRDefault="007B266B" w:rsidP="002D72F3">
            <w:pPr>
              <w:rPr>
                <w:rFonts w:ascii="Arial" w:hAnsi="Arial" w:cs="Arial"/>
                <w:b/>
                <w:bCs/>
                <w:sz w:val="20"/>
                <w:szCs w:val="20"/>
                <w:lang w:val="en-US"/>
              </w:rPr>
            </w:pPr>
          </w:p>
        </w:tc>
        <w:tc>
          <w:tcPr>
            <w:tcW w:w="884" w:type="dxa"/>
            <w:tcBorders>
              <w:top w:val="single" w:sz="4" w:space="0" w:color="auto"/>
              <w:left w:val="nil"/>
              <w:bottom w:val="single" w:sz="4" w:space="0" w:color="auto"/>
              <w:right w:val="single" w:sz="4" w:space="0" w:color="auto"/>
            </w:tcBorders>
          </w:tcPr>
          <w:p w14:paraId="255FDD15" w14:textId="69C3F9F2" w:rsidR="007B266B" w:rsidRPr="00916A2D" w:rsidRDefault="007B266B" w:rsidP="002D72F3">
            <w:pPr>
              <w:rPr>
                <w:rFonts w:ascii="Arial" w:hAnsi="Arial" w:cs="Arial"/>
                <w:b/>
                <w:bCs/>
                <w:sz w:val="20"/>
                <w:szCs w:val="20"/>
              </w:rPr>
            </w:pPr>
            <w:r w:rsidRPr="00916A2D">
              <w:rPr>
                <w:rFonts w:ascii="Arial" w:hAnsi="Arial" w:cs="Arial"/>
                <w:b/>
                <w:bCs/>
                <w:sz w:val="20"/>
                <w:szCs w:val="20"/>
              </w:rPr>
              <w:t>3.1</w:t>
            </w:r>
          </w:p>
        </w:tc>
        <w:tc>
          <w:tcPr>
            <w:tcW w:w="8521" w:type="dxa"/>
            <w:tcBorders>
              <w:top w:val="nil"/>
              <w:left w:val="single" w:sz="4" w:space="0" w:color="auto"/>
              <w:bottom w:val="single" w:sz="4" w:space="0" w:color="auto"/>
              <w:right w:val="single" w:sz="4" w:space="0" w:color="auto"/>
            </w:tcBorders>
            <w:shd w:val="clear" w:color="auto" w:fill="auto"/>
            <w:vAlign w:val="center"/>
          </w:tcPr>
          <w:p w14:paraId="15E03AD9" w14:textId="77777777" w:rsidR="007B266B" w:rsidRPr="00916A2D" w:rsidRDefault="007B266B" w:rsidP="00F07A18">
            <w:pPr>
              <w:jc w:val="both"/>
              <w:rPr>
                <w:rFonts w:ascii="Arial" w:hAnsi="Arial" w:cs="Arial"/>
                <w:sz w:val="20"/>
                <w:szCs w:val="20"/>
              </w:rPr>
            </w:pPr>
            <w:r w:rsidRPr="00916A2D">
              <w:rPr>
                <w:rFonts w:ascii="Arial" w:hAnsi="Arial" w:cs="Arial"/>
                <w:sz w:val="20"/>
                <w:szCs w:val="20"/>
              </w:rPr>
              <w:t>Прием и оформление заявления Клиента о расторжении Договора, проверка остатка денежных средств и непогашенных обязательств Клиента, закрытие банковского счета типа «С» в автоматизированной банковской системе, направление уведомления в налоговые органы</w:t>
            </w:r>
          </w:p>
          <w:p w14:paraId="69B13A9B" w14:textId="52061F6C" w:rsidR="007D196A" w:rsidRPr="00916A2D" w:rsidRDefault="007D196A" w:rsidP="00F07A18">
            <w:pPr>
              <w:jc w:val="both"/>
              <w:rPr>
                <w:rFonts w:ascii="Arial" w:hAnsi="Arial" w:cs="Arial"/>
                <w:sz w:val="20"/>
                <w:szCs w:val="20"/>
                <w:lang w:val="en-US"/>
              </w:rPr>
            </w:pPr>
            <w:r w:rsidRPr="00916A2D">
              <w:rPr>
                <w:rFonts w:ascii="Arial" w:hAnsi="Arial" w:cs="Arial"/>
                <w:sz w:val="20"/>
                <w:szCs w:val="20"/>
                <w:lang w:val="en-US"/>
              </w:rPr>
              <w:t>Receiving and processing the Client's application for termination of the Contract, checking the balance of funds and outstanding obligations of the Client, closing a bank account of type "C" in the automated banking system, sending a notification to the tax authorities</w:t>
            </w:r>
          </w:p>
        </w:tc>
        <w:tc>
          <w:tcPr>
            <w:tcW w:w="3173" w:type="dxa"/>
            <w:tcBorders>
              <w:top w:val="nil"/>
              <w:left w:val="nil"/>
              <w:bottom w:val="single" w:sz="4" w:space="0" w:color="auto"/>
              <w:right w:val="single" w:sz="4" w:space="0" w:color="auto"/>
            </w:tcBorders>
            <w:shd w:val="clear" w:color="auto" w:fill="auto"/>
            <w:vAlign w:val="center"/>
          </w:tcPr>
          <w:p w14:paraId="4F222D31" w14:textId="17AE3072" w:rsidR="007B266B" w:rsidRPr="00916A2D" w:rsidRDefault="007B266B" w:rsidP="002D72F3">
            <w:pPr>
              <w:rPr>
                <w:rFonts w:ascii="Arial" w:hAnsi="Arial" w:cs="Arial"/>
                <w:sz w:val="20"/>
                <w:szCs w:val="20"/>
              </w:rPr>
            </w:pPr>
            <w:r w:rsidRPr="00F71B69">
              <w:rPr>
                <w:rFonts w:ascii="Arial" w:hAnsi="Arial" w:cs="Arial"/>
                <w:sz w:val="20"/>
                <w:szCs w:val="20"/>
              </w:rPr>
              <w:t>Без взимания вознаграждения</w:t>
            </w:r>
          </w:p>
        </w:tc>
        <w:tc>
          <w:tcPr>
            <w:tcW w:w="2225" w:type="dxa"/>
            <w:tcBorders>
              <w:top w:val="nil"/>
              <w:left w:val="nil"/>
              <w:bottom w:val="single" w:sz="4" w:space="0" w:color="auto"/>
              <w:right w:val="single" w:sz="4" w:space="0" w:color="auto"/>
            </w:tcBorders>
            <w:shd w:val="clear" w:color="auto" w:fill="auto"/>
            <w:vAlign w:val="center"/>
          </w:tcPr>
          <w:p w14:paraId="6D2C8551" w14:textId="77777777" w:rsidR="007B266B" w:rsidRPr="00916A2D" w:rsidRDefault="007B266B" w:rsidP="002D72F3">
            <w:pPr>
              <w:rPr>
                <w:rFonts w:ascii="Arial" w:hAnsi="Arial" w:cs="Arial"/>
                <w:sz w:val="20"/>
                <w:szCs w:val="20"/>
              </w:rPr>
            </w:pPr>
          </w:p>
        </w:tc>
      </w:tr>
      <w:tr w:rsidR="007B266B" w:rsidRPr="00250818" w14:paraId="2D29D5AD" w14:textId="77777777" w:rsidTr="00F07A18">
        <w:trPr>
          <w:trHeight w:val="61"/>
        </w:trPr>
        <w:tc>
          <w:tcPr>
            <w:tcW w:w="88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64A8859" w14:textId="08A5B347" w:rsidR="007B266B" w:rsidRPr="00916A2D" w:rsidRDefault="007B266B" w:rsidP="007B266B">
            <w:pPr>
              <w:rPr>
                <w:rFonts w:ascii="Arial" w:hAnsi="Arial" w:cs="Arial"/>
                <w:b/>
                <w:bCs/>
                <w:sz w:val="20"/>
                <w:szCs w:val="20"/>
              </w:rPr>
            </w:pPr>
            <w:r w:rsidRPr="00916A2D">
              <w:rPr>
                <w:rFonts w:ascii="Arial" w:hAnsi="Arial" w:cs="Arial"/>
                <w:b/>
                <w:bCs/>
                <w:sz w:val="20"/>
                <w:szCs w:val="20"/>
              </w:rPr>
              <w:t>4.</w:t>
            </w:r>
          </w:p>
        </w:tc>
        <w:tc>
          <w:tcPr>
            <w:tcW w:w="884" w:type="dxa"/>
            <w:tcBorders>
              <w:top w:val="single" w:sz="4" w:space="0" w:color="auto"/>
              <w:left w:val="nil"/>
              <w:bottom w:val="single" w:sz="4" w:space="0" w:color="auto"/>
              <w:right w:val="single" w:sz="4" w:space="0" w:color="auto"/>
            </w:tcBorders>
            <w:shd w:val="clear" w:color="auto" w:fill="D9D9D9" w:themeFill="background1" w:themeFillShade="D9"/>
          </w:tcPr>
          <w:p w14:paraId="7978CA4E" w14:textId="77777777" w:rsidR="007B266B" w:rsidRPr="00916A2D" w:rsidRDefault="007B266B" w:rsidP="007B266B">
            <w:pPr>
              <w:rPr>
                <w:rFonts w:ascii="Arial" w:hAnsi="Arial" w:cs="Arial"/>
                <w:b/>
                <w:bCs/>
                <w:sz w:val="20"/>
                <w:szCs w:val="20"/>
              </w:rPr>
            </w:pPr>
          </w:p>
        </w:tc>
        <w:tc>
          <w:tcPr>
            <w:tcW w:w="8521" w:type="dxa"/>
            <w:tcBorders>
              <w:top w:val="nil"/>
              <w:left w:val="single" w:sz="4" w:space="0" w:color="auto"/>
              <w:bottom w:val="single" w:sz="4" w:space="0" w:color="auto"/>
              <w:right w:val="single" w:sz="4" w:space="0" w:color="auto"/>
            </w:tcBorders>
            <w:shd w:val="clear" w:color="auto" w:fill="D9D9D9" w:themeFill="background1" w:themeFillShade="D9"/>
          </w:tcPr>
          <w:p w14:paraId="35B4DBF1" w14:textId="77777777" w:rsidR="007B266B" w:rsidRPr="00916A2D" w:rsidRDefault="007B266B" w:rsidP="00F07A18">
            <w:pPr>
              <w:jc w:val="both"/>
              <w:rPr>
                <w:rFonts w:ascii="Arial" w:hAnsi="Arial" w:cs="Arial"/>
                <w:b/>
                <w:bCs/>
                <w:sz w:val="20"/>
                <w:szCs w:val="20"/>
              </w:rPr>
            </w:pPr>
            <w:r w:rsidRPr="00916A2D">
              <w:rPr>
                <w:rFonts w:ascii="Arial" w:hAnsi="Arial" w:cs="Arial"/>
                <w:b/>
                <w:bCs/>
                <w:sz w:val="20"/>
                <w:szCs w:val="20"/>
              </w:rPr>
              <w:t>Зачисление денежных средств, поступивших на счет Клиента</w:t>
            </w:r>
          </w:p>
          <w:p w14:paraId="745D696A" w14:textId="55869B47" w:rsidR="007D196A" w:rsidRPr="00916A2D" w:rsidRDefault="007D196A" w:rsidP="00F07A18">
            <w:pPr>
              <w:jc w:val="both"/>
              <w:rPr>
                <w:rFonts w:ascii="Arial" w:hAnsi="Arial" w:cs="Arial"/>
                <w:b/>
                <w:bCs/>
                <w:sz w:val="20"/>
                <w:szCs w:val="20"/>
                <w:lang w:val="en-US"/>
              </w:rPr>
            </w:pPr>
            <w:r w:rsidRPr="00916A2D">
              <w:rPr>
                <w:rFonts w:ascii="Arial" w:hAnsi="Arial" w:cs="Arial"/>
                <w:b/>
                <w:bCs/>
                <w:sz w:val="20"/>
                <w:szCs w:val="20"/>
                <w:lang w:val="en-US"/>
              </w:rPr>
              <w:t>Crediting of funds received to the Client's account</w:t>
            </w:r>
          </w:p>
        </w:tc>
        <w:tc>
          <w:tcPr>
            <w:tcW w:w="3173" w:type="dxa"/>
            <w:tcBorders>
              <w:top w:val="nil"/>
              <w:left w:val="nil"/>
              <w:bottom w:val="single" w:sz="4" w:space="0" w:color="auto"/>
              <w:right w:val="single" w:sz="4" w:space="0" w:color="auto"/>
            </w:tcBorders>
            <w:shd w:val="clear" w:color="auto" w:fill="D9D9D9" w:themeFill="background1" w:themeFillShade="D9"/>
            <w:vAlign w:val="center"/>
          </w:tcPr>
          <w:p w14:paraId="3EA1F25B" w14:textId="77777777" w:rsidR="007B266B" w:rsidRPr="00916A2D" w:rsidRDefault="007B266B" w:rsidP="007B266B">
            <w:pPr>
              <w:rPr>
                <w:rFonts w:ascii="Arial" w:hAnsi="Arial" w:cs="Arial"/>
                <w:b/>
                <w:bCs/>
                <w:sz w:val="20"/>
                <w:szCs w:val="20"/>
                <w:lang w:val="en-US"/>
              </w:rPr>
            </w:pPr>
          </w:p>
        </w:tc>
        <w:tc>
          <w:tcPr>
            <w:tcW w:w="2225" w:type="dxa"/>
            <w:tcBorders>
              <w:top w:val="nil"/>
              <w:left w:val="nil"/>
              <w:bottom w:val="single" w:sz="4" w:space="0" w:color="auto"/>
              <w:right w:val="single" w:sz="4" w:space="0" w:color="auto"/>
            </w:tcBorders>
            <w:shd w:val="clear" w:color="auto" w:fill="D9D9D9" w:themeFill="background1" w:themeFillShade="D9"/>
            <w:vAlign w:val="center"/>
          </w:tcPr>
          <w:p w14:paraId="65DB67CB" w14:textId="77777777" w:rsidR="007B266B" w:rsidRPr="00916A2D" w:rsidRDefault="007B266B" w:rsidP="007B266B">
            <w:pPr>
              <w:rPr>
                <w:rFonts w:ascii="Arial" w:hAnsi="Arial" w:cs="Arial"/>
                <w:b/>
                <w:bCs/>
                <w:sz w:val="20"/>
                <w:szCs w:val="20"/>
                <w:lang w:val="en-US"/>
              </w:rPr>
            </w:pPr>
          </w:p>
        </w:tc>
      </w:tr>
      <w:tr w:rsidR="007B266B" w:rsidRPr="00916A2D" w14:paraId="4A8DDFCA" w14:textId="77777777" w:rsidTr="00F07A18">
        <w:trPr>
          <w:trHeight w:val="56"/>
        </w:trPr>
        <w:tc>
          <w:tcPr>
            <w:tcW w:w="884" w:type="dxa"/>
            <w:tcBorders>
              <w:top w:val="nil"/>
              <w:left w:val="single" w:sz="4" w:space="0" w:color="auto"/>
              <w:bottom w:val="single" w:sz="4" w:space="0" w:color="auto"/>
              <w:right w:val="single" w:sz="4" w:space="0" w:color="auto"/>
            </w:tcBorders>
            <w:shd w:val="clear" w:color="auto" w:fill="auto"/>
            <w:noWrap/>
            <w:vAlign w:val="bottom"/>
          </w:tcPr>
          <w:p w14:paraId="7D7275BE" w14:textId="77777777" w:rsidR="007B266B" w:rsidRPr="00916A2D" w:rsidRDefault="007B266B" w:rsidP="007B266B">
            <w:pPr>
              <w:rPr>
                <w:rFonts w:ascii="Arial" w:hAnsi="Arial" w:cs="Arial"/>
                <w:b/>
                <w:bCs/>
                <w:sz w:val="20"/>
                <w:szCs w:val="20"/>
                <w:lang w:val="en-US"/>
              </w:rPr>
            </w:pPr>
          </w:p>
        </w:tc>
        <w:tc>
          <w:tcPr>
            <w:tcW w:w="884" w:type="dxa"/>
            <w:tcBorders>
              <w:top w:val="single" w:sz="4" w:space="0" w:color="auto"/>
              <w:left w:val="nil"/>
              <w:bottom w:val="single" w:sz="4" w:space="0" w:color="auto"/>
              <w:right w:val="single" w:sz="4" w:space="0" w:color="auto"/>
            </w:tcBorders>
          </w:tcPr>
          <w:p w14:paraId="2B1BE70C" w14:textId="1E8B0199" w:rsidR="007B266B" w:rsidRPr="00916A2D" w:rsidRDefault="007B266B" w:rsidP="007B266B">
            <w:pPr>
              <w:rPr>
                <w:rFonts w:ascii="Arial" w:hAnsi="Arial" w:cs="Arial"/>
                <w:b/>
                <w:bCs/>
                <w:sz w:val="20"/>
                <w:szCs w:val="20"/>
              </w:rPr>
            </w:pPr>
            <w:r w:rsidRPr="00916A2D">
              <w:rPr>
                <w:rFonts w:ascii="Arial" w:hAnsi="Arial" w:cs="Arial"/>
                <w:b/>
                <w:bCs/>
                <w:sz w:val="20"/>
                <w:szCs w:val="20"/>
              </w:rPr>
              <w:t>4.1.</w:t>
            </w:r>
          </w:p>
        </w:tc>
        <w:tc>
          <w:tcPr>
            <w:tcW w:w="8521" w:type="dxa"/>
            <w:tcBorders>
              <w:top w:val="nil"/>
              <w:left w:val="single" w:sz="4" w:space="0" w:color="auto"/>
              <w:bottom w:val="single" w:sz="4" w:space="0" w:color="auto"/>
              <w:right w:val="single" w:sz="4" w:space="0" w:color="auto"/>
            </w:tcBorders>
            <w:shd w:val="clear" w:color="auto" w:fill="auto"/>
            <w:vAlign w:val="center"/>
          </w:tcPr>
          <w:p w14:paraId="77969076" w14:textId="77777777" w:rsidR="007B266B" w:rsidRPr="00916A2D" w:rsidRDefault="007B266B" w:rsidP="00F07A18">
            <w:pPr>
              <w:jc w:val="both"/>
              <w:rPr>
                <w:rFonts w:ascii="Arial" w:hAnsi="Arial" w:cs="Arial"/>
                <w:sz w:val="20"/>
                <w:szCs w:val="20"/>
              </w:rPr>
            </w:pPr>
            <w:r w:rsidRPr="00916A2D">
              <w:rPr>
                <w:rFonts w:ascii="Arial" w:hAnsi="Arial" w:cs="Arial"/>
                <w:sz w:val="20"/>
                <w:szCs w:val="20"/>
              </w:rPr>
              <w:t>Зачисление денежных средств, поступивших на банковский счет типа «С»</w:t>
            </w:r>
          </w:p>
          <w:p w14:paraId="687B75EC" w14:textId="7F8B34BB" w:rsidR="00916A2D" w:rsidRPr="00916A2D" w:rsidRDefault="00916A2D" w:rsidP="00F07A18">
            <w:pPr>
              <w:jc w:val="both"/>
              <w:rPr>
                <w:rFonts w:ascii="Arial" w:hAnsi="Arial" w:cs="Arial"/>
                <w:sz w:val="20"/>
                <w:szCs w:val="20"/>
                <w:lang w:val="en-US"/>
              </w:rPr>
            </w:pPr>
            <w:r w:rsidRPr="00916A2D">
              <w:rPr>
                <w:rFonts w:ascii="Arial" w:hAnsi="Arial" w:cs="Arial"/>
                <w:sz w:val="20"/>
                <w:szCs w:val="20"/>
                <w:lang w:val="en-US"/>
              </w:rPr>
              <w:t>Crediting of funds received to a bank account of type "C"</w:t>
            </w:r>
          </w:p>
        </w:tc>
        <w:tc>
          <w:tcPr>
            <w:tcW w:w="3173" w:type="dxa"/>
            <w:tcBorders>
              <w:top w:val="nil"/>
              <w:left w:val="nil"/>
              <w:bottom w:val="single" w:sz="4" w:space="0" w:color="auto"/>
              <w:right w:val="single" w:sz="4" w:space="0" w:color="auto"/>
            </w:tcBorders>
            <w:shd w:val="clear" w:color="auto" w:fill="auto"/>
            <w:vAlign w:val="center"/>
          </w:tcPr>
          <w:p w14:paraId="6367D246" w14:textId="50FB1642" w:rsidR="007B266B" w:rsidRPr="00916A2D" w:rsidRDefault="007B266B" w:rsidP="007B266B">
            <w:pPr>
              <w:rPr>
                <w:rFonts w:ascii="Arial" w:hAnsi="Arial" w:cs="Arial"/>
                <w:sz w:val="20"/>
                <w:szCs w:val="20"/>
              </w:rPr>
            </w:pPr>
            <w:r w:rsidRPr="00F71B69">
              <w:rPr>
                <w:rFonts w:ascii="Arial" w:hAnsi="Arial" w:cs="Arial"/>
                <w:sz w:val="20"/>
                <w:szCs w:val="20"/>
              </w:rPr>
              <w:t>Без взимания вознаграждения</w:t>
            </w:r>
          </w:p>
        </w:tc>
        <w:tc>
          <w:tcPr>
            <w:tcW w:w="2225" w:type="dxa"/>
            <w:tcBorders>
              <w:top w:val="nil"/>
              <w:left w:val="nil"/>
              <w:bottom w:val="single" w:sz="4" w:space="0" w:color="auto"/>
              <w:right w:val="single" w:sz="4" w:space="0" w:color="auto"/>
            </w:tcBorders>
            <w:shd w:val="clear" w:color="auto" w:fill="auto"/>
            <w:vAlign w:val="center"/>
          </w:tcPr>
          <w:p w14:paraId="20FAA4B8" w14:textId="77777777" w:rsidR="007B266B" w:rsidRPr="00916A2D" w:rsidRDefault="007B266B" w:rsidP="007B266B">
            <w:pPr>
              <w:rPr>
                <w:rFonts w:ascii="Arial" w:hAnsi="Arial" w:cs="Arial"/>
                <w:sz w:val="20"/>
                <w:szCs w:val="20"/>
              </w:rPr>
            </w:pPr>
          </w:p>
        </w:tc>
      </w:tr>
      <w:tr w:rsidR="007B266B" w:rsidRPr="00250818" w14:paraId="00895CC5" w14:textId="77777777" w:rsidTr="00F07A18">
        <w:trPr>
          <w:trHeight w:val="295"/>
        </w:trPr>
        <w:tc>
          <w:tcPr>
            <w:tcW w:w="8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7783F89" w14:textId="0C931326" w:rsidR="007B266B" w:rsidRPr="00F71B69" w:rsidRDefault="007B266B" w:rsidP="007B266B">
            <w:pPr>
              <w:rPr>
                <w:rFonts w:ascii="Arial" w:hAnsi="Arial" w:cs="Arial"/>
                <w:b/>
                <w:bCs/>
                <w:sz w:val="20"/>
                <w:szCs w:val="20"/>
              </w:rPr>
            </w:pPr>
            <w:r w:rsidRPr="00916A2D">
              <w:rPr>
                <w:rFonts w:ascii="Arial" w:hAnsi="Arial" w:cs="Arial"/>
                <w:b/>
                <w:bCs/>
                <w:sz w:val="20"/>
                <w:szCs w:val="20"/>
              </w:rPr>
              <w:t>5</w:t>
            </w:r>
            <w:r w:rsidRPr="00F71B69">
              <w:rPr>
                <w:rFonts w:ascii="Arial" w:hAnsi="Arial" w:cs="Arial"/>
                <w:b/>
                <w:bCs/>
                <w:sz w:val="20"/>
                <w:szCs w:val="20"/>
              </w:rPr>
              <w:t>.</w:t>
            </w:r>
          </w:p>
        </w:tc>
        <w:tc>
          <w:tcPr>
            <w:tcW w:w="884" w:type="dxa"/>
            <w:tcBorders>
              <w:top w:val="single" w:sz="4" w:space="0" w:color="auto"/>
              <w:left w:val="nil"/>
              <w:bottom w:val="single" w:sz="4" w:space="0" w:color="auto"/>
              <w:right w:val="single" w:sz="4" w:space="0" w:color="auto"/>
            </w:tcBorders>
            <w:shd w:val="clear" w:color="auto" w:fill="D9D9D9" w:themeFill="background1" w:themeFillShade="D9"/>
          </w:tcPr>
          <w:p w14:paraId="5EBF3AA3" w14:textId="77777777" w:rsidR="007B266B" w:rsidRPr="00916A2D" w:rsidRDefault="007B266B" w:rsidP="007B266B">
            <w:pPr>
              <w:rPr>
                <w:rFonts w:ascii="Arial" w:hAnsi="Arial" w:cs="Arial"/>
                <w:b/>
                <w:bCs/>
                <w:sz w:val="20"/>
                <w:szCs w:val="20"/>
              </w:rPr>
            </w:pPr>
          </w:p>
        </w:tc>
        <w:tc>
          <w:tcPr>
            <w:tcW w:w="852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FA3D6C5" w14:textId="77777777" w:rsidR="007B266B" w:rsidRPr="00916A2D" w:rsidRDefault="007B266B" w:rsidP="00F07A18">
            <w:pPr>
              <w:jc w:val="both"/>
              <w:rPr>
                <w:rFonts w:ascii="Arial" w:hAnsi="Arial" w:cs="Arial"/>
                <w:b/>
                <w:bCs/>
                <w:sz w:val="20"/>
                <w:szCs w:val="20"/>
              </w:rPr>
            </w:pPr>
            <w:r w:rsidRPr="00F71B69">
              <w:rPr>
                <w:rFonts w:ascii="Arial" w:hAnsi="Arial" w:cs="Arial"/>
                <w:b/>
                <w:bCs/>
                <w:sz w:val="20"/>
                <w:szCs w:val="20"/>
              </w:rPr>
              <w:t>Прием и исполнение платежных поручений на перевод денежных средств в рублях РФ с</w:t>
            </w:r>
            <w:r w:rsidR="002F50CD" w:rsidRPr="00916A2D">
              <w:rPr>
                <w:rFonts w:ascii="Arial" w:hAnsi="Arial" w:cs="Arial"/>
                <w:b/>
                <w:bCs/>
                <w:sz w:val="20"/>
                <w:szCs w:val="20"/>
              </w:rPr>
              <w:t xml:space="preserve"> банковского</w:t>
            </w:r>
            <w:r w:rsidRPr="00F71B69">
              <w:rPr>
                <w:rFonts w:ascii="Arial" w:hAnsi="Arial" w:cs="Arial"/>
                <w:b/>
                <w:bCs/>
                <w:sz w:val="20"/>
                <w:szCs w:val="20"/>
              </w:rPr>
              <w:t xml:space="preserve"> счета </w:t>
            </w:r>
            <w:r w:rsidR="002F50CD" w:rsidRPr="00916A2D">
              <w:rPr>
                <w:rFonts w:ascii="Arial" w:hAnsi="Arial" w:cs="Arial"/>
                <w:b/>
                <w:bCs/>
                <w:sz w:val="20"/>
                <w:szCs w:val="20"/>
              </w:rPr>
              <w:t>типа «С»</w:t>
            </w:r>
          </w:p>
          <w:p w14:paraId="3B2A4270" w14:textId="6DFEE520" w:rsidR="00916A2D" w:rsidRPr="00F71B69" w:rsidRDefault="00916A2D" w:rsidP="00F07A18">
            <w:pPr>
              <w:jc w:val="both"/>
              <w:rPr>
                <w:rFonts w:ascii="Arial" w:hAnsi="Arial" w:cs="Arial"/>
                <w:b/>
                <w:bCs/>
                <w:sz w:val="20"/>
                <w:szCs w:val="20"/>
                <w:lang w:val="en-US"/>
              </w:rPr>
            </w:pPr>
            <w:r w:rsidRPr="00916A2D">
              <w:rPr>
                <w:rFonts w:ascii="Arial" w:hAnsi="Arial" w:cs="Arial"/>
                <w:b/>
                <w:bCs/>
                <w:sz w:val="20"/>
                <w:szCs w:val="20"/>
                <w:lang w:val="en-US"/>
              </w:rPr>
              <w:t>Acceptance and execution of payment orders for the transfer of funds in Russian rubles from a bank account of type "C"</w:t>
            </w:r>
          </w:p>
        </w:tc>
        <w:tc>
          <w:tcPr>
            <w:tcW w:w="3173" w:type="dxa"/>
            <w:tcBorders>
              <w:top w:val="nil"/>
              <w:left w:val="nil"/>
              <w:bottom w:val="single" w:sz="4" w:space="0" w:color="auto"/>
              <w:right w:val="single" w:sz="4" w:space="0" w:color="auto"/>
            </w:tcBorders>
            <w:shd w:val="clear" w:color="auto" w:fill="D9D9D9" w:themeFill="background1" w:themeFillShade="D9"/>
            <w:vAlign w:val="center"/>
            <w:hideMark/>
          </w:tcPr>
          <w:p w14:paraId="5F438A18" w14:textId="77777777" w:rsidR="007B266B" w:rsidRPr="00F71B69" w:rsidRDefault="007B266B" w:rsidP="007B266B">
            <w:pPr>
              <w:rPr>
                <w:rFonts w:ascii="Arial" w:hAnsi="Arial" w:cs="Arial"/>
                <w:b/>
                <w:bCs/>
                <w:sz w:val="20"/>
                <w:szCs w:val="20"/>
                <w:lang w:val="en-US"/>
              </w:rPr>
            </w:pPr>
            <w:r w:rsidRPr="00F71B69">
              <w:rPr>
                <w:rFonts w:ascii="Arial" w:hAnsi="Arial" w:cs="Arial"/>
                <w:b/>
                <w:bCs/>
                <w:sz w:val="20"/>
                <w:szCs w:val="20"/>
                <w:lang w:val="en-US"/>
              </w:rPr>
              <w:t> </w:t>
            </w:r>
          </w:p>
        </w:tc>
        <w:tc>
          <w:tcPr>
            <w:tcW w:w="2225" w:type="dxa"/>
            <w:tcBorders>
              <w:top w:val="nil"/>
              <w:left w:val="nil"/>
              <w:bottom w:val="single" w:sz="4" w:space="0" w:color="auto"/>
              <w:right w:val="single" w:sz="4" w:space="0" w:color="auto"/>
            </w:tcBorders>
            <w:shd w:val="clear" w:color="auto" w:fill="D9D9D9" w:themeFill="background1" w:themeFillShade="D9"/>
            <w:vAlign w:val="center"/>
            <w:hideMark/>
          </w:tcPr>
          <w:p w14:paraId="3D159888" w14:textId="77777777" w:rsidR="007B266B" w:rsidRPr="00F71B69" w:rsidRDefault="007B266B" w:rsidP="007B266B">
            <w:pPr>
              <w:rPr>
                <w:rFonts w:ascii="Arial" w:hAnsi="Arial" w:cs="Arial"/>
                <w:b/>
                <w:bCs/>
                <w:sz w:val="20"/>
                <w:szCs w:val="20"/>
                <w:lang w:val="en-US"/>
              </w:rPr>
            </w:pPr>
            <w:r w:rsidRPr="00F71B69">
              <w:rPr>
                <w:rFonts w:ascii="Arial" w:hAnsi="Arial" w:cs="Arial"/>
                <w:b/>
                <w:bCs/>
                <w:sz w:val="20"/>
                <w:szCs w:val="20"/>
                <w:lang w:val="en-US"/>
              </w:rPr>
              <w:t> </w:t>
            </w:r>
          </w:p>
        </w:tc>
      </w:tr>
      <w:tr w:rsidR="007B266B" w:rsidRPr="00916A2D" w14:paraId="687090AD" w14:textId="77777777" w:rsidTr="00F07A18">
        <w:trPr>
          <w:trHeight w:val="16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30B8B05C" w14:textId="060A2A91" w:rsidR="007B266B" w:rsidRPr="00F71B69" w:rsidRDefault="007B266B" w:rsidP="007B266B">
            <w:pPr>
              <w:rPr>
                <w:rFonts w:ascii="Arial" w:hAnsi="Arial" w:cs="Arial"/>
                <w:b/>
                <w:bCs/>
                <w:sz w:val="20"/>
                <w:szCs w:val="20"/>
                <w:lang w:val="en-US"/>
              </w:rPr>
            </w:pPr>
          </w:p>
        </w:tc>
        <w:tc>
          <w:tcPr>
            <w:tcW w:w="884" w:type="dxa"/>
            <w:tcBorders>
              <w:top w:val="single" w:sz="4" w:space="0" w:color="auto"/>
              <w:left w:val="nil"/>
              <w:bottom w:val="single" w:sz="4" w:space="0" w:color="auto"/>
              <w:right w:val="single" w:sz="4" w:space="0" w:color="auto"/>
            </w:tcBorders>
          </w:tcPr>
          <w:p w14:paraId="594DD1EB" w14:textId="4F0FBF5D" w:rsidR="007B266B" w:rsidRPr="00916A2D" w:rsidRDefault="00BA6609" w:rsidP="007B266B">
            <w:pPr>
              <w:rPr>
                <w:rFonts w:ascii="Arial" w:hAnsi="Arial" w:cs="Arial"/>
                <w:b/>
                <w:bCs/>
                <w:sz w:val="20"/>
                <w:szCs w:val="20"/>
              </w:rPr>
            </w:pPr>
            <w:r w:rsidRPr="00916A2D">
              <w:rPr>
                <w:rFonts w:ascii="Arial" w:hAnsi="Arial" w:cs="Arial"/>
                <w:b/>
                <w:bCs/>
                <w:sz w:val="20"/>
                <w:szCs w:val="20"/>
              </w:rPr>
              <w:t>5</w:t>
            </w:r>
            <w:r w:rsidRPr="00F71B69">
              <w:rPr>
                <w:rFonts w:ascii="Arial" w:hAnsi="Arial" w:cs="Arial"/>
                <w:b/>
                <w:bCs/>
                <w:sz w:val="20"/>
                <w:szCs w:val="20"/>
              </w:rPr>
              <w:t>.1.</w:t>
            </w:r>
          </w:p>
        </w:tc>
        <w:tc>
          <w:tcPr>
            <w:tcW w:w="8521" w:type="dxa"/>
            <w:tcBorders>
              <w:top w:val="nil"/>
              <w:left w:val="single" w:sz="4" w:space="0" w:color="auto"/>
              <w:bottom w:val="single" w:sz="4" w:space="0" w:color="auto"/>
              <w:right w:val="single" w:sz="4" w:space="0" w:color="auto"/>
            </w:tcBorders>
            <w:shd w:val="clear" w:color="auto" w:fill="auto"/>
            <w:vAlign w:val="center"/>
            <w:hideMark/>
          </w:tcPr>
          <w:p w14:paraId="5284CBF5" w14:textId="30AF58FA" w:rsidR="007B266B" w:rsidRPr="00916A2D" w:rsidRDefault="007B266B" w:rsidP="00F07A18">
            <w:pPr>
              <w:jc w:val="both"/>
              <w:rPr>
                <w:rFonts w:ascii="Arial" w:hAnsi="Arial" w:cs="Arial"/>
                <w:sz w:val="20"/>
                <w:szCs w:val="20"/>
              </w:rPr>
            </w:pPr>
            <w:r w:rsidRPr="00F71B69">
              <w:rPr>
                <w:rFonts w:ascii="Arial" w:hAnsi="Arial" w:cs="Arial"/>
                <w:sz w:val="20"/>
                <w:szCs w:val="20"/>
              </w:rPr>
              <w:t xml:space="preserve">На счета, открытые в </w:t>
            </w:r>
            <w:r w:rsidR="007250CC">
              <w:rPr>
                <w:rFonts w:ascii="Arial" w:hAnsi="Arial" w:cs="Arial"/>
                <w:sz w:val="20"/>
                <w:szCs w:val="20"/>
              </w:rPr>
              <w:t>А</w:t>
            </w:r>
            <w:r w:rsidR="007250CC" w:rsidRPr="00F71B69">
              <w:rPr>
                <w:rFonts w:ascii="Arial" w:hAnsi="Arial" w:cs="Arial"/>
                <w:sz w:val="20"/>
                <w:szCs w:val="20"/>
              </w:rPr>
              <w:t xml:space="preserve">О </w:t>
            </w:r>
            <w:r w:rsidRPr="00F71B69">
              <w:rPr>
                <w:rFonts w:ascii="Arial" w:hAnsi="Arial" w:cs="Arial"/>
                <w:sz w:val="20"/>
                <w:szCs w:val="20"/>
              </w:rPr>
              <w:t>"Банк 131"</w:t>
            </w:r>
          </w:p>
          <w:p w14:paraId="38527524" w14:textId="6BC1A106" w:rsidR="00916A2D" w:rsidRPr="00F71B69" w:rsidRDefault="00916A2D" w:rsidP="00F07A18">
            <w:pPr>
              <w:jc w:val="both"/>
              <w:rPr>
                <w:rFonts w:ascii="Arial" w:hAnsi="Arial" w:cs="Arial"/>
                <w:sz w:val="20"/>
                <w:szCs w:val="20"/>
                <w:lang w:val="en-US"/>
              </w:rPr>
            </w:pPr>
            <w:r w:rsidRPr="00916A2D">
              <w:rPr>
                <w:rFonts w:ascii="Arial" w:hAnsi="Arial" w:cs="Arial"/>
                <w:sz w:val="20"/>
                <w:szCs w:val="20"/>
                <w:lang w:val="en-US"/>
              </w:rPr>
              <w:t xml:space="preserve">To accounts opened in Bank 131 </w:t>
            </w:r>
            <w:r w:rsidR="007250CC">
              <w:rPr>
                <w:rFonts w:ascii="Arial" w:hAnsi="Arial" w:cs="Arial"/>
                <w:sz w:val="20"/>
                <w:szCs w:val="20"/>
                <w:lang w:val="en-US"/>
              </w:rPr>
              <w:t>JSC</w:t>
            </w:r>
          </w:p>
        </w:tc>
        <w:tc>
          <w:tcPr>
            <w:tcW w:w="3173" w:type="dxa"/>
            <w:tcBorders>
              <w:top w:val="nil"/>
              <w:left w:val="nil"/>
              <w:bottom w:val="single" w:sz="4" w:space="0" w:color="auto"/>
              <w:right w:val="single" w:sz="4" w:space="0" w:color="auto"/>
            </w:tcBorders>
            <w:shd w:val="clear" w:color="auto" w:fill="auto"/>
            <w:vAlign w:val="center"/>
            <w:hideMark/>
          </w:tcPr>
          <w:p w14:paraId="4E64C280" w14:textId="66816359" w:rsidR="007B266B" w:rsidRPr="00F71B69" w:rsidRDefault="007B266B" w:rsidP="007B266B">
            <w:pPr>
              <w:rPr>
                <w:rFonts w:ascii="Arial" w:hAnsi="Arial" w:cs="Arial"/>
                <w:sz w:val="20"/>
                <w:szCs w:val="20"/>
              </w:rPr>
            </w:pPr>
            <w:r w:rsidRPr="00F71B69">
              <w:rPr>
                <w:rFonts w:ascii="Arial" w:hAnsi="Arial" w:cs="Arial"/>
                <w:sz w:val="20"/>
                <w:szCs w:val="20"/>
                <w:lang w:val="en-US"/>
              </w:rPr>
              <w:t> </w:t>
            </w:r>
            <w:r w:rsidR="002F50CD" w:rsidRPr="00F71B69">
              <w:rPr>
                <w:rFonts w:ascii="Arial" w:hAnsi="Arial" w:cs="Arial"/>
                <w:sz w:val="20"/>
                <w:szCs w:val="20"/>
              </w:rPr>
              <w:t>Без взимания вознаграждения</w:t>
            </w:r>
          </w:p>
        </w:tc>
        <w:tc>
          <w:tcPr>
            <w:tcW w:w="2225" w:type="dxa"/>
            <w:tcBorders>
              <w:top w:val="nil"/>
              <w:left w:val="nil"/>
              <w:bottom w:val="single" w:sz="4" w:space="0" w:color="auto"/>
              <w:right w:val="single" w:sz="4" w:space="0" w:color="auto"/>
            </w:tcBorders>
            <w:shd w:val="clear" w:color="auto" w:fill="auto"/>
            <w:vAlign w:val="center"/>
            <w:hideMark/>
          </w:tcPr>
          <w:p w14:paraId="0A86978C" w14:textId="77777777" w:rsidR="007B266B" w:rsidRPr="00F71B69" w:rsidRDefault="007B266B" w:rsidP="007B266B">
            <w:pPr>
              <w:rPr>
                <w:rFonts w:ascii="Arial" w:hAnsi="Arial" w:cs="Arial"/>
                <w:sz w:val="20"/>
                <w:szCs w:val="20"/>
              </w:rPr>
            </w:pPr>
            <w:r w:rsidRPr="00F71B69">
              <w:rPr>
                <w:rFonts w:ascii="Arial" w:hAnsi="Arial" w:cs="Arial"/>
                <w:sz w:val="20"/>
                <w:szCs w:val="20"/>
              </w:rPr>
              <w:t> </w:t>
            </w:r>
          </w:p>
        </w:tc>
      </w:tr>
      <w:tr w:rsidR="007B266B" w:rsidRPr="00916A2D" w14:paraId="17FFDE75" w14:textId="77777777" w:rsidTr="00BB5F69">
        <w:trPr>
          <w:trHeight w:val="30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416B2D3E" w14:textId="0DBBB6E9" w:rsidR="007B266B" w:rsidRPr="00F71B69" w:rsidRDefault="007B266B" w:rsidP="007B266B">
            <w:pPr>
              <w:rPr>
                <w:rFonts w:ascii="Arial" w:hAnsi="Arial" w:cs="Arial"/>
                <w:b/>
                <w:bCs/>
                <w:sz w:val="20"/>
                <w:szCs w:val="20"/>
              </w:rPr>
            </w:pPr>
          </w:p>
        </w:tc>
        <w:tc>
          <w:tcPr>
            <w:tcW w:w="884" w:type="dxa"/>
            <w:tcBorders>
              <w:top w:val="single" w:sz="4" w:space="0" w:color="auto"/>
              <w:left w:val="nil"/>
              <w:bottom w:val="single" w:sz="4" w:space="0" w:color="auto"/>
              <w:right w:val="single" w:sz="4" w:space="0" w:color="auto"/>
            </w:tcBorders>
          </w:tcPr>
          <w:p w14:paraId="214E6E92" w14:textId="6CC8D490" w:rsidR="007B266B" w:rsidRPr="00916A2D" w:rsidRDefault="00F943BF" w:rsidP="007B266B">
            <w:pPr>
              <w:rPr>
                <w:rFonts w:ascii="Arial" w:hAnsi="Arial" w:cs="Arial"/>
                <w:b/>
                <w:bCs/>
                <w:sz w:val="20"/>
                <w:szCs w:val="20"/>
              </w:rPr>
            </w:pPr>
            <w:r w:rsidRPr="00916A2D">
              <w:rPr>
                <w:rFonts w:ascii="Arial" w:hAnsi="Arial" w:cs="Arial"/>
                <w:b/>
                <w:bCs/>
                <w:sz w:val="20"/>
                <w:szCs w:val="20"/>
              </w:rPr>
              <w:t>5.</w:t>
            </w:r>
            <w:r w:rsidR="00914FC9" w:rsidRPr="00916A2D">
              <w:rPr>
                <w:rFonts w:ascii="Arial" w:hAnsi="Arial" w:cs="Arial"/>
                <w:b/>
                <w:bCs/>
                <w:sz w:val="20"/>
                <w:szCs w:val="20"/>
              </w:rPr>
              <w:t>1</w:t>
            </w:r>
            <w:r w:rsidRPr="00916A2D">
              <w:rPr>
                <w:rFonts w:ascii="Arial" w:hAnsi="Arial" w:cs="Arial"/>
                <w:b/>
                <w:bCs/>
                <w:sz w:val="20"/>
                <w:szCs w:val="20"/>
              </w:rPr>
              <w:t>.</w:t>
            </w:r>
            <w:r w:rsidR="00914FC9" w:rsidRPr="00916A2D">
              <w:rPr>
                <w:rFonts w:ascii="Arial" w:hAnsi="Arial" w:cs="Arial"/>
                <w:b/>
                <w:bCs/>
                <w:sz w:val="20"/>
                <w:szCs w:val="20"/>
              </w:rPr>
              <w:t>1.</w:t>
            </w:r>
          </w:p>
        </w:tc>
        <w:tc>
          <w:tcPr>
            <w:tcW w:w="8521" w:type="dxa"/>
            <w:tcBorders>
              <w:top w:val="nil"/>
              <w:left w:val="single" w:sz="4" w:space="0" w:color="auto"/>
              <w:bottom w:val="single" w:sz="4" w:space="0" w:color="auto"/>
              <w:right w:val="single" w:sz="4" w:space="0" w:color="auto"/>
            </w:tcBorders>
            <w:shd w:val="clear" w:color="auto" w:fill="auto"/>
            <w:vAlign w:val="center"/>
            <w:hideMark/>
          </w:tcPr>
          <w:p w14:paraId="3B658535" w14:textId="77777777" w:rsidR="007B266B" w:rsidRPr="00916A2D" w:rsidRDefault="007B266B" w:rsidP="00F07A18">
            <w:pPr>
              <w:jc w:val="both"/>
              <w:rPr>
                <w:rFonts w:ascii="Arial" w:hAnsi="Arial" w:cs="Arial"/>
                <w:sz w:val="20"/>
                <w:szCs w:val="20"/>
              </w:rPr>
            </w:pPr>
            <w:r w:rsidRPr="00F71B69">
              <w:rPr>
                <w:rFonts w:ascii="Arial" w:hAnsi="Arial" w:cs="Arial"/>
                <w:sz w:val="20"/>
                <w:szCs w:val="20"/>
              </w:rPr>
              <w:t xml:space="preserve">Поступивших по системе дистанционного банковского обслуживания </w:t>
            </w:r>
            <w:r w:rsidR="00BA6609" w:rsidRPr="00916A2D">
              <w:rPr>
                <w:rFonts w:ascii="Arial" w:hAnsi="Arial" w:cs="Arial"/>
                <w:sz w:val="20"/>
                <w:szCs w:val="20"/>
              </w:rPr>
              <w:t>«</w:t>
            </w:r>
            <w:r w:rsidRPr="00F71B69">
              <w:rPr>
                <w:rFonts w:ascii="Arial" w:hAnsi="Arial" w:cs="Arial"/>
                <w:sz w:val="20"/>
                <w:szCs w:val="20"/>
              </w:rPr>
              <w:t>Интернет-</w:t>
            </w:r>
            <w:r w:rsidR="00BA6609" w:rsidRPr="00916A2D">
              <w:rPr>
                <w:rFonts w:ascii="Arial" w:hAnsi="Arial" w:cs="Arial"/>
                <w:sz w:val="20"/>
                <w:szCs w:val="20"/>
              </w:rPr>
              <w:t>Клиент»</w:t>
            </w:r>
          </w:p>
          <w:p w14:paraId="47B368AF" w14:textId="55849A79" w:rsidR="00916A2D" w:rsidRPr="00F71B69" w:rsidRDefault="00916A2D" w:rsidP="00F07A18">
            <w:pPr>
              <w:jc w:val="both"/>
              <w:rPr>
                <w:rFonts w:ascii="Arial" w:hAnsi="Arial" w:cs="Arial"/>
                <w:sz w:val="20"/>
                <w:szCs w:val="20"/>
                <w:lang w:val="en-US"/>
              </w:rPr>
            </w:pPr>
            <w:r w:rsidRPr="00916A2D">
              <w:rPr>
                <w:rFonts w:ascii="Arial" w:hAnsi="Arial" w:cs="Arial"/>
                <w:sz w:val="20"/>
                <w:szCs w:val="20"/>
                <w:lang w:val="en-US"/>
              </w:rPr>
              <w:t>Received through the "Internet Client" remote banking system</w:t>
            </w:r>
          </w:p>
        </w:tc>
        <w:tc>
          <w:tcPr>
            <w:tcW w:w="3173" w:type="dxa"/>
            <w:tcBorders>
              <w:top w:val="nil"/>
              <w:left w:val="nil"/>
              <w:bottom w:val="single" w:sz="4" w:space="0" w:color="auto"/>
              <w:right w:val="single" w:sz="4" w:space="0" w:color="auto"/>
            </w:tcBorders>
            <w:shd w:val="clear" w:color="auto" w:fill="auto"/>
            <w:vAlign w:val="center"/>
            <w:hideMark/>
          </w:tcPr>
          <w:p w14:paraId="48C3CE27" w14:textId="77777777" w:rsidR="007B266B" w:rsidRPr="00F71B69" w:rsidRDefault="007B266B" w:rsidP="007B266B">
            <w:pPr>
              <w:rPr>
                <w:rFonts w:ascii="Arial" w:hAnsi="Arial" w:cs="Arial"/>
                <w:sz w:val="20"/>
                <w:szCs w:val="20"/>
              </w:rPr>
            </w:pPr>
            <w:r w:rsidRPr="00F71B69">
              <w:rPr>
                <w:rFonts w:ascii="Arial" w:hAnsi="Arial" w:cs="Arial"/>
                <w:sz w:val="20"/>
                <w:szCs w:val="20"/>
                <w:lang w:val="en-US"/>
              </w:rPr>
              <w:t xml:space="preserve"> </w:t>
            </w:r>
            <w:r w:rsidRPr="00F71B69">
              <w:rPr>
                <w:rFonts w:ascii="Arial" w:hAnsi="Arial" w:cs="Arial"/>
                <w:sz w:val="20"/>
                <w:szCs w:val="20"/>
              </w:rPr>
              <w:t>Без взимания вознаграждения</w:t>
            </w:r>
          </w:p>
        </w:tc>
        <w:tc>
          <w:tcPr>
            <w:tcW w:w="2225" w:type="dxa"/>
            <w:tcBorders>
              <w:top w:val="nil"/>
              <w:left w:val="nil"/>
              <w:bottom w:val="single" w:sz="4" w:space="0" w:color="auto"/>
              <w:right w:val="single" w:sz="4" w:space="0" w:color="auto"/>
            </w:tcBorders>
            <w:shd w:val="clear" w:color="auto" w:fill="auto"/>
            <w:vAlign w:val="center"/>
            <w:hideMark/>
          </w:tcPr>
          <w:p w14:paraId="1AC87A13" w14:textId="77777777" w:rsidR="007B266B" w:rsidRPr="00F71B69" w:rsidRDefault="007B266B" w:rsidP="007B266B">
            <w:pPr>
              <w:rPr>
                <w:rFonts w:ascii="Arial" w:hAnsi="Arial" w:cs="Arial"/>
                <w:sz w:val="20"/>
                <w:szCs w:val="20"/>
              </w:rPr>
            </w:pPr>
            <w:r w:rsidRPr="00F71B69">
              <w:rPr>
                <w:rFonts w:ascii="Arial" w:hAnsi="Arial" w:cs="Arial"/>
                <w:sz w:val="20"/>
                <w:szCs w:val="20"/>
              </w:rPr>
              <w:t> </w:t>
            </w:r>
          </w:p>
        </w:tc>
      </w:tr>
      <w:tr w:rsidR="00914FC9" w:rsidRPr="00916A2D" w14:paraId="1B32CC0A" w14:textId="77777777" w:rsidTr="00BB5F69">
        <w:trPr>
          <w:trHeight w:val="300"/>
        </w:trPr>
        <w:tc>
          <w:tcPr>
            <w:tcW w:w="884" w:type="dxa"/>
            <w:tcBorders>
              <w:top w:val="nil"/>
              <w:left w:val="single" w:sz="4" w:space="0" w:color="auto"/>
              <w:bottom w:val="single" w:sz="4" w:space="0" w:color="auto"/>
              <w:right w:val="single" w:sz="4" w:space="0" w:color="auto"/>
            </w:tcBorders>
            <w:shd w:val="clear" w:color="auto" w:fill="auto"/>
            <w:noWrap/>
            <w:vAlign w:val="bottom"/>
          </w:tcPr>
          <w:p w14:paraId="1BEB9A62" w14:textId="77777777" w:rsidR="00914FC9" w:rsidRPr="00916A2D" w:rsidRDefault="00914FC9" w:rsidP="00914FC9">
            <w:pPr>
              <w:rPr>
                <w:rFonts w:ascii="Arial" w:hAnsi="Arial" w:cs="Arial"/>
                <w:b/>
                <w:bCs/>
                <w:sz w:val="20"/>
                <w:szCs w:val="20"/>
              </w:rPr>
            </w:pPr>
          </w:p>
        </w:tc>
        <w:tc>
          <w:tcPr>
            <w:tcW w:w="884" w:type="dxa"/>
            <w:tcBorders>
              <w:top w:val="single" w:sz="4" w:space="0" w:color="auto"/>
              <w:left w:val="nil"/>
              <w:bottom w:val="single" w:sz="4" w:space="0" w:color="auto"/>
              <w:right w:val="single" w:sz="4" w:space="0" w:color="auto"/>
            </w:tcBorders>
          </w:tcPr>
          <w:p w14:paraId="388E5680" w14:textId="6BA56BD3" w:rsidR="00914FC9" w:rsidRPr="00916A2D" w:rsidRDefault="00914FC9" w:rsidP="00914FC9">
            <w:pPr>
              <w:rPr>
                <w:rFonts w:ascii="Arial" w:hAnsi="Arial" w:cs="Arial"/>
                <w:b/>
                <w:bCs/>
                <w:sz w:val="20"/>
                <w:szCs w:val="20"/>
              </w:rPr>
            </w:pPr>
            <w:r w:rsidRPr="00916A2D">
              <w:rPr>
                <w:rFonts w:ascii="Arial" w:hAnsi="Arial" w:cs="Arial"/>
                <w:b/>
                <w:bCs/>
                <w:sz w:val="20"/>
                <w:szCs w:val="20"/>
              </w:rPr>
              <w:t>5.1.2.</w:t>
            </w:r>
          </w:p>
        </w:tc>
        <w:tc>
          <w:tcPr>
            <w:tcW w:w="8521" w:type="dxa"/>
            <w:tcBorders>
              <w:top w:val="nil"/>
              <w:left w:val="single" w:sz="4" w:space="0" w:color="auto"/>
              <w:bottom w:val="single" w:sz="4" w:space="0" w:color="auto"/>
              <w:right w:val="single" w:sz="4" w:space="0" w:color="auto"/>
            </w:tcBorders>
            <w:shd w:val="clear" w:color="auto" w:fill="auto"/>
          </w:tcPr>
          <w:p w14:paraId="534C7C37" w14:textId="77777777" w:rsidR="00914FC9" w:rsidRPr="00916A2D" w:rsidRDefault="00914FC9" w:rsidP="00F07A18">
            <w:pPr>
              <w:jc w:val="both"/>
              <w:rPr>
                <w:rFonts w:ascii="Arial" w:hAnsi="Arial" w:cs="Arial"/>
                <w:sz w:val="20"/>
                <w:szCs w:val="20"/>
              </w:rPr>
            </w:pPr>
            <w:r w:rsidRPr="00916A2D">
              <w:rPr>
                <w:rFonts w:ascii="Arial" w:hAnsi="Arial" w:cs="Arial"/>
                <w:sz w:val="20"/>
                <w:szCs w:val="20"/>
              </w:rPr>
              <w:t xml:space="preserve">Поступивших на бумажных носителях </w:t>
            </w:r>
          </w:p>
          <w:p w14:paraId="47994F7B" w14:textId="7609DEC2" w:rsidR="00916A2D" w:rsidRPr="00916A2D" w:rsidRDefault="00916A2D" w:rsidP="00F07A18">
            <w:pPr>
              <w:jc w:val="both"/>
              <w:rPr>
                <w:rFonts w:ascii="Arial" w:hAnsi="Arial" w:cs="Arial"/>
                <w:sz w:val="20"/>
                <w:szCs w:val="20"/>
              </w:rPr>
            </w:pPr>
            <w:proofErr w:type="spellStart"/>
            <w:r w:rsidRPr="00916A2D">
              <w:rPr>
                <w:rFonts w:ascii="Arial" w:hAnsi="Arial" w:cs="Arial"/>
                <w:sz w:val="20"/>
                <w:szCs w:val="20"/>
              </w:rPr>
              <w:t>Received</w:t>
            </w:r>
            <w:proofErr w:type="spellEnd"/>
            <w:r w:rsidRPr="00916A2D">
              <w:rPr>
                <w:rFonts w:ascii="Arial" w:hAnsi="Arial" w:cs="Arial"/>
                <w:sz w:val="20"/>
                <w:szCs w:val="20"/>
              </w:rPr>
              <w:t xml:space="preserve"> </w:t>
            </w:r>
            <w:proofErr w:type="spellStart"/>
            <w:r w:rsidRPr="00916A2D">
              <w:rPr>
                <w:rFonts w:ascii="Arial" w:hAnsi="Arial" w:cs="Arial"/>
                <w:sz w:val="20"/>
                <w:szCs w:val="20"/>
              </w:rPr>
              <w:t>on</w:t>
            </w:r>
            <w:proofErr w:type="spellEnd"/>
            <w:r w:rsidRPr="00916A2D">
              <w:rPr>
                <w:rFonts w:ascii="Arial" w:hAnsi="Arial" w:cs="Arial"/>
                <w:sz w:val="20"/>
                <w:szCs w:val="20"/>
              </w:rPr>
              <w:t xml:space="preserve"> </w:t>
            </w:r>
            <w:proofErr w:type="spellStart"/>
            <w:r w:rsidRPr="00916A2D">
              <w:rPr>
                <w:rFonts w:ascii="Arial" w:hAnsi="Arial" w:cs="Arial"/>
                <w:sz w:val="20"/>
                <w:szCs w:val="20"/>
              </w:rPr>
              <w:t>paper</w:t>
            </w:r>
            <w:proofErr w:type="spellEnd"/>
          </w:p>
        </w:tc>
        <w:tc>
          <w:tcPr>
            <w:tcW w:w="3173" w:type="dxa"/>
            <w:tcBorders>
              <w:top w:val="nil"/>
              <w:left w:val="nil"/>
              <w:bottom w:val="single" w:sz="4" w:space="0" w:color="auto"/>
              <w:right w:val="single" w:sz="4" w:space="0" w:color="auto"/>
            </w:tcBorders>
            <w:shd w:val="clear" w:color="auto" w:fill="auto"/>
            <w:vAlign w:val="center"/>
          </w:tcPr>
          <w:p w14:paraId="5F8AF97F" w14:textId="08F70997" w:rsidR="00914FC9" w:rsidRPr="00916A2D" w:rsidRDefault="00914FC9" w:rsidP="00914FC9">
            <w:pPr>
              <w:rPr>
                <w:rFonts w:ascii="Arial" w:hAnsi="Arial" w:cs="Arial"/>
                <w:sz w:val="20"/>
                <w:szCs w:val="20"/>
              </w:rPr>
            </w:pPr>
            <w:r w:rsidRPr="00F71B69">
              <w:rPr>
                <w:rFonts w:ascii="Arial" w:hAnsi="Arial" w:cs="Arial"/>
                <w:sz w:val="20"/>
                <w:szCs w:val="20"/>
              </w:rPr>
              <w:t>Без взимания вознаграждения</w:t>
            </w:r>
          </w:p>
        </w:tc>
        <w:tc>
          <w:tcPr>
            <w:tcW w:w="2225" w:type="dxa"/>
            <w:tcBorders>
              <w:top w:val="nil"/>
              <w:left w:val="nil"/>
              <w:bottom w:val="single" w:sz="4" w:space="0" w:color="auto"/>
              <w:right w:val="single" w:sz="4" w:space="0" w:color="auto"/>
            </w:tcBorders>
            <w:shd w:val="clear" w:color="auto" w:fill="auto"/>
            <w:vAlign w:val="center"/>
          </w:tcPr>
          <w:p w14:paraId="719278D7" w14:textId="77777777" w:rsidR="00914FC9" w:rsidRPr="00916A2D" w:rsidRDefault="00914FC9" w:rsidP="00914FC9">
            <w:pPr>
              <w:rPr>
                <w:rFonts w:ascii="Arial" w:hAnsi="Arial" w:cs="Arial"/>
                <w:sz w:val="20"/>
                <w:szCs w:val="20"/>
              </w:rPr>
            </w:pPr>
          </w:p>
        </w:tc>
      </w:tr>
      <w:tr w:rsidR="00914FC9" w:rsidRPr="00250818" w14:paraId="0BE053B7" w14:textId="77777777" w:rsidTr="00F07A18">
        <w:trPr>
          <w:trHeight w:val="118"/>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4E05E0C8" w14:textId="771B0A21" w:rsidR="00914FC9" w:rsidRPr="00F71B69" w:rsidRDefault="00914FC9" w:rsidP="00914FC9">
            <w:pPr>
              <w:rPr>
                <w:rFonts w:ascii="Arial" w:hAnsi="Arial" w:cs="Arial"/>
                <w:b/>
                <w:bCs/>
                <w:sz w:val="20"/>
                <w:szCs w:val="20"/>
              </w:rPr>
            </w:pPr>
          </w:p>
        </w:tc>
        <w:tc>
          <w:tcPr>
            <w:tcW w:w="884" w:type="dxa"/>
            <w:tcBorders>
              <w:top w:val="single" w:sz="4" w:space="0" w:color="auto"/>
              <w:left w:val="nil"/>
              <w:bottom w:val="single" w:sz="4" w:space="0" w:color="auto"/>
              <w:right w:val="single" w:sz="4" w:space="0" w:color="auto"/>
            </w:tcBorders>
          </w:tcPr>
          <w:p w14:paraId="3D1BA5F5" w14:textId="0708C931" w:rsidR="00914FC9" w:rsidRPr="00916A2D" w:rsidRDefault="00914FC9" w:rsidP="00914FC9">
            <w:pPr>
              <w:rPr>
                <w:rFonts w:ascii="Arial" w:hAnsi="Arial" w:cs="Arial"/>
                <w:b/>
                <w:bCs/>
                <w:sz w:val="20"/>
                <w:szCs w:val="20"/>
              </w:rPr>
            </w:pPr>
            <w:r w:rsidRPr="00916A2D">
              <w:rPr>
                <w:rFonts w:ascii="Arial" w:hAnsi="Arial" w:cs="Arial"/>
                <w:b/>
                <w:bCs/>
                <w:sz w:val="20"/>
                <w:szCs w:val="20"/>
              </w:rPr>
              <w:t>5.2.</w:t>
            </w:r>
          </w:p>
        </w:tc>
        <w:tc>
          <w:tcPr>
            <w:tcW w:w="8521" w:type="dxa"/>
            <w:tcBorders>
              <w:top w:val="nil"/>
              <w:left w:val="single" w:sz="4" w:space="0" w:color="auto"/>
              <w:bottom w:val="single" w:sz="4" w:space="0" w:color="auto"/>
              <w:right w:val="single" w:sz="4" w:space="0" w:color="auto"/>
            </w:tcBorders>
            <w:shd w:val="clear" w:color="auto" w:fill="auto"/>
            <w:vAlign w:val="center"/>
            <w:hideMark/>
          </w:tcPr>
          <w:p w14:paraId="1EB32A53" w14:textId="77777777" w:rsidR="00914FC9" w:rsidRPr="00916A2D" w:rsidRDefault="00914FC9" w:rsidP="00F07A18">
            <w:pPr>
              <w:jc w:val="both"/>
              <w:rPr>
                <w:rFonts w:ascii="Arial" w:hAnsi="Arial" w:cs="Arial"/>
                <w:sz w:val="20"/>
                <w:szCs w:val="20"/>
              </w:rPr>
            </w:pPr>
            <w:r w:rsidRPr="00F71B69">
              <w:rPr>
                <w:rFonts w:ascii="Arial" w:hAnsi="Arial" w:cs="Arial"/>
                <w:sz w:val="20"/>
                <w:szCs w:val="20"/>
              </w:rPr>
              <w:t xml:space="preserve">На счета, открытые в других банках </w:t>
            </w:r>
          </w:p>
          <w:p w14:paraId="528D2DED" w14:textId="2A0DCC91" w:rsidR="00916A2D" w:rsidRPr="00F71B69" w:rsidRDefault="00916A2D" w:rsidP="00F07A18">
            <w:pPr>
              <w:jc w:val="both"/>
              <w:rPr>
                <w:rFonts w:ascii="Arial" w:hAnsi="Arial" w:cs="Arial"/>
                <w:sz w:val="20"/>
                <w:szCs w:val="20"/>
                <w:lang w:val="en-US"/>
              </w:rPr>
            </w:pPr>
            <w:r w:rsidRPr="00916A2D">
              <w:rPr>
                <w:rFonts w:ascii="Arial" w:hAnsi="Arial" w:cs="Arial"/>
                <w:sz w:val="20"/>
                <w:szCs w:val="20"/>
                <w:lang w:val="en-US"/>
              </w:rPr>
              <w:t>To accounts opened with other banks</w:t>
            </w:r>
          </w:p>
        </w:tc>
        <w:tc>
          <w:tcPr>
            <w:tcW w:w="3173" w:type="dxa"/>
            <w:tcBorders>
              <w:top w:val="nil"/>
              <w:left w:val="nil"/>
              <w:bottom w:val="single" w:sz="4" w:space="0" w:color="auto"/>
              <w:right w:val="single" w:sz="4" w:space="0" w:color="auto"/>
            </w:tcBorders>
            <w:shd w:val="clear" w:color="auto" w:fill="auto"/>
            <w:vAlign w:val="center"/>
            <w:hideMark/>
          </w:tcPr>
          <w:p w14:paraId="0D27ABB3" w14:textId="77777777" w:rsidR="00914FC9" w:rsidRPr="00F71B69" w:rsidRDefault="00914FC9" w:rsidP="00914FC9">
            <w:pPr>
              <w:rPr>
                <w:rFonts w:ascii="Arial" w:hAnsi="Arial" w:cs="Arial"/>
                <w:sz w:val="20"/>
                <w:szCs w:val="20"/>
                <w:lang w:val="en-US"/>
              </w:rPr>
            </w:pPr>
            <w:r w:rsidRPr="00F71B69">
              <w:rPr>
                <w:rFonts w:ascii="Arial" w:hAnsi="Arial" w:cs="Arial"/>
                <w:sz w:val="20"/>
                <w:szCs w:val="20"/>
                <w:lang w:val="en-US"/>
              </w:rPr>
              <w:t> </w:t>
            </w:r>
          </w:p>
        </w:tc>
        <w:tc>
          <w:tcPr>
            <w:tcW w:w="2225" w:type="dxa"/>
            <w:tcBorders>
              <w:top w:val="nil"/>
              <w:left w:val="nil"/>
              <w:bottom w:val="single" w:sz="4" w:space="0" w:color="auto"/>
              <w:right w:val="single" w:sz="4" w:space="0" w:color="auto"/>
            </w:tcBorders>
            <w:shd w:val="clear" w:color="auto" w:fill="auto"/>
            <w:vAlign w:val="center"/>
            <w:hideMark/>
          </w:tcPr>
          <w:p w14:paraId="45F2BA42" w14:textId="77777777" w:rsidR="00914FC9" w:rsidRPr="00F71B69" w:rsidRDefault="00914FC9" w:rsidP="00914FC9">
            <w:pPr>
              <w:rPr>
                <w:rFonts w:ascii="Arial" w:hAnsi="Arial" w:cs="Arial"/>
                <w:sz w:val="20"/>
                <w:szCs w:val="20"/>
                <w:lang w:val="en-US"/>
              </w:rPr>
            </w:pPr>
            <w:r w:rsidRPr="00F71B69">
              <w:rPr>
                <w:rFonts w:ascii="Arial" w:hAnsi="Arial" w:cs="Arial"/>
                <w:sz w:val="20"/>
                <w:szCs w:val="20"/>
                <w:lang w:val="en-US"/>
              </w:rPr>
              <w:t> </w:t>
            </w:r>
          </w:p>
        </w:tc>
      </w:tr>
      <w:tr w:rsidR="00914FC9" w:rsidRPr="00250818" w14:paraId="1C76ECA1" w14:textId="77777777" w:rsidTr="00F07A18">
        <w:trPr>
          <w:trHeight w:val="56"/>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37F84FE0" w14:textId="02308C41" w:rsidR="00914FC9" w:rsidRPr="00F71B69" w:rsidRDefault="00914FC9" w:rsidP="00914FC9">
            <w:pPr>
              <w:rPr>
                <w:rFonts w:ascii="Arial" w:hAnsi="Arial" w:cs="Arial"/>
                <w:b/>
                <w:bCs/>
                <w:sz w:val="20"/>
                <w:szCs w:val="20"/>
                <w:lang w:val="en-US"/>
              </w:rPr>
            </w:pPr>
          </w:p>
        </w:tc>
        <w:tc>
          <w:tcPr>
            <w:tcW w:w="884" w:type="dxa"/>
            <w:tcBorders>
              <w:top w:val="single" w:sz="4" w:space="0" w:color="auto"/>
              <w:left w:val="nil"/>
              <w:bottom w:val="single" w:sz="4" w:space="0" w:color="auto"/>
              <w:right w:val="single" w:sz="4" w:space="0" w:color="auto"/>
            </w:tcBorders>
          </w:tcPr>
          <w:p w14:paraId="52AD1453" w14:textId="66F1A275" w:rsidR="00914FC9" w:rsidRPr="00916A2D" w:rsidRDefault="00914FC9" w:rsidP="00914FC9">
            <w:pPr>
              <w:rPr>
                <w:rFonts w:ascii="Arial" w:hAnsi="Arial" w:cs="Arial"/>
                <w:b/>
                <w:bCs/>
                <w:sz w:val="20"/>
                <w:szCs w:val="20"/>
              </w:rPr>
            </w:pPr>
            <w:r w:rsidRPr="00916A2D">
              <w:rPr>
                <w:rFonts w:ascii="Arial" w:hAnsi="Arial" w:cs="Arial"/>
                <w:b/>
                <w:bCs/>
                <w:sz w:val="20"/>
                <w:szCs w:val="20"/>
              </w:rPr>
              <w:t>5.2.1.</w:t>
            </w:r>
          </w:p>
        </w:tc>
        <w:tc>
          <w:tcPr>
            <w:tcW w:w="8521" w:type="dxa"/>
            <w:tcBorders>
              <w:top w:val="nil"/>
              <w:left w:val="single" w:sz="4" w:space="0" w:color="auto"/>
              <w:bottom w:val="single" w:sz="4" w:space="0" w:color="auto"/>
              <w:right w:val="single" w:sz="4" w:space="0" w:color="auto"/>
            </w:tcBorders>
            <w:shd w:val="clear" w:color="auto" w:fill="auto"/>
            <w:vAlign w:val="center"/>
            <w:hideMark/>
          </w:tcPr>
          <w:p w14:paraId="53FE52D6" w14:textId="77777777" w:rsidR="00916A2D" w:rsidRPr="00916A2D" w:rsidRDefault="00914FC9" w:rsidP="00F07A18">
            <w:pPr>
              <w:jc w:val="both"/>
              <w:rPr>
                <w:rFonts w:ascii="Arial" w:hAnsi="Arial" w:cs="Arial"/>
                <w:sz w:val="20"/>
                <w:szCs w:val="20"/>
              </w:rPr>
            </w:pPr>
            <w:r w:rsidRPr="00F71B69">
              <w:rPr>
                <w:rFonts w:ascii="Arial" w:hAnsi="Arial" w:cs="Arial"/>
                <w:sz w:val="20"/>
                <w:szCs w:val="20"/>
              </w:rPr>
              <w:t>Поступивших по системе дистанционного банковского обслуживания "Интернет-</w:t>
            </w:r>
            <w:r w:rsidRPr="00916A2D">
              <w:rPr>
                <w:rFonts w:ascii="Arial" w:hAnsi="Arial" w:cs="Arial"/>
                <w:sz w:val="20"/>
                <w:szCs w:val="20"/>
              </w:rPr>
              <w:t>Клиент</w:t>
            </w:r>
            <w:r w:rsidRPr="00F71B69">
              <w:rPr>
                <w:rFonts w:ascii="Arial" w:hAnsi="Arial" w:cs="Arial"/>
                <w:sz w:val="20"/>
                <w:szCs w:val="20"/>
              </w:rPr>
              <w:t>"</w:t>
            </w:r>
          </w:p>
          <w:p w14:paraId="4C1D0749" w14:textId="2318ED4D" w:rsidR="00914FC9" w:rsidRPr="00F71B69" w:rsidRDefault="00916A2D" w:rsidP="00F07A18">
            <w:pPr>
              <w:jc w:val="both"/>
              <w:rPr>
                <w:rFonts w:ascii="Arial" w:hAnsi="Arial" w:cs="Arial"/>
                <w:sz w:val="20"/>
                <w:szCs w:val="20"/>
                <w:lang w:val="en-US"/>
              </w:rPr>
            </w:pPr>
            <w:r w:rsidRPr="00916A2D">
              <w:rPr>
                <w:rFonts w:ascii="Arial" w:hAnsi="Arial" w:cs="Arial"/>
                <w:sz w:val="20"/>
                <w:szCs w:val="20"/>
                <w:lang w:val="en-US"/>
              </w:rPr>
              <w:t>Received through the "Internet Client" remote banking system*</w:t>
            </w:r>
          </w:p>
        </w:tc>
        <w:tc>
          <w:tcPr>
            <w:tcW w:w="3173" w:type="dxa"/>
            <w:tcBorders>
              <w:top w:val="nil"/>
              <w:left w:val="nil"/>
              <w:bottom w:val="single" w:sz="4" w:space="0" w:color="auto"/>
              <w:right w:val="single" w:sz="4" w:space="0" w:color="auto"/>
            </w:tcBorders>
            <w:shd w:val="clear" w:color="auto" w:fill="auto"/>
            <w:hideMark/>
          </w:tcPr>
          <w:p w14:paraId="10AD5D3B" w14:textId="77777777" w:rsidR="00914FC9" w:rsidRPr="00F71B69" w:rsidRDefault="00914FC9" w:rsidP="00914FC9">
            <w:pPr>
              <w:rPr>
                <w:rFonts w:ascii="Arial" w:hAnsi="Arial" w:cs="Arial"/>
                <w:sz w:val="20"/>
                <w:szCs w:val="20"/>
                <w:lang w:val="en-US"/>
              </w:rPr>
            </w:pPr>
            <w:r w:rsidRPr="00F71B69">
              <w:rPr>
                <w:rFonts w:ascii="Arial" w:hAnsi="Arial" w:cs="Arial"/>
                <w:sz w:val="20"/>
                <w:szCs w:val="20"/>
                <w:lang w:val="en-US"/>
              </w:rPr>
              <w:t> </w:t>
            </w:r>
          </w:p>
        </w:tc>
        <w:tc>
          <w:tcPr>
            <w:tcW w:w="2225" w:type="dxa"/>
            <w:tcBorders>
              <w:top w:val="nil"/>
              <w:left w:val="nil"/>
              <w:bottom w:val="single" w:sz="4" w:space="0" w:color="auto"/>
              <w:right w:val="single" w:sz="4" w:space="0" w:color="auto"/>
            </w:tcBorders>
            <w:shd w:val="clear" w:color="auto" w:fill="auto"/>
            <w:vAlign w:val="center"/>
            <w:hideMark/>
          </w:tcPr>
          <w:p w14:paraId="65DE4E83" w14:textId="77777777" w:rsidR="00914FC9" w:rsidRPr="00F71B69" w:rsidRDefault="00914FC9" w:rsidP="00914FC9">
            <w:pPr>
              <w:rPr>
                <w:rFonts w:ascii="Arial" w:hAnsi="Arial" w:cs="Arial"/>
                <w:sz w:val="20"/>
                <w:szCs w:val="20"/>
                <w:lang w:val="en-US"/>
              </w:rPr>
            </w:pPr>
            <w:r w:rsidRPr="00F71B69">
              <w:rPr>
                <w:rFonts w:ascii="Arial" w:hAnsi="Arial" w:cs="Arial"/>
                <w:sz w:val="20"/>
                <w:szCs w:val="20"/>
                <w:lang w:val="en-US"/>
              </w:rPr>
              <w:t> </w:t>
            </w:r>
          </w:p>
        </w:tc>
      </w:tr>
      <w:tr w:rsidR="00914FC9" w:rsidRPr="00916A2D" w14:paraId="68ED7EE0" w14:textId="77777777" w:rsidTr="00F07A18">
        <w:trPr>
          <w:trHeight w:val="224"/>
        </w:trPr>
        <w:tc>
          <w:tcPr>
            <w:tcW w:w="884" w:type="dxa"/>
            <w:tcBorders>
              <w:top w:val="nil"/>
              <w:left w:val="single" w:sz="4" w:space="0" w:color="auto"/>
              <w:bottom w:val="single" w:sz="4" w:space="0" w:color="auto"/>
              <w:right w:val="single" w:sz="4" w:space="0" w:color="auto"/>
            </w:tcBorders>
            <w:shd w:val="clear" w:color="auto" w:fill="auto"/>
            <w:noWrap/>
            <w:vAlign w:val="bottom"/>
          </w:tcPr>
          <w:p w14:paraId="1960ABB1" w14:textId="719DC28B" w:rsidR="00914FC9" w:rsidRPr="00F71B69" w:rsidRDefault="00914FC9" w:rsidP="00914FC9">
            <w:pPr>
              <w:rPr>
                <w:rFonts w:ascii="Arial" w:hAnsi="Arial" w:cs="Arial"/>
                <w:b/>
                <w:bCs/>
                <w:sz w:val="20"/>
                <w:szCs w:val="20"/>
                <w:lang w:val="en-US"/>
              </w:rPr>
            </w:pPr>
          </w:p>
        </w:tc>
        <w:tc>
          <w:tcPr>
            <w:tcW w:w="884" w:type="dxa"/>
            <w:tcBorders>
              <w:top w:val="single" w:sz="4" w:space="0" w:color="auto"/>
              <w:left w:val="nil"/>
              <w:bottom w:val="single" w:sz="4" w:space="0" w:color="auto"/>
              <w:right w:val="single" w:sz="4" w:space="0" w:color="auto"/>
            </w:tcBorders>
          </w:tcPr>
          <w:p w14:paraId="54F79761" w14:textId="4537329E" w:rsidR="00914FC9" w:rsidRPr="00916A2D" w:rsidRDefault="00914FC9" w:rsidP="00914FC9">
            <w:pPr>
              <w:rPr>
                <w:rFonts w:ascii="Arial" w:hAnsi="Arial" w:cs="Arial"/>
                <w:b/>
                <w:bCs/>
                <w:sz w:val="20"/>
                <w:szCs w:val="20"/>
              </w:rPr>
            </w:pPr>
            <w:r w:rsidRPr="00916A2D">
              <w:rPr>
                <w:rFonts w:ascii="Arial" w:hAnsi="Arial" w:cs="Arial"/>
                <w:b/>
                <w:bCs/>
                <w:sz w:val="20"/>
                <w:szCs w:val="20"/>
              </w:rPr>
              <w:t>5.2.1.1.</w:t>
            </w:r>
          </w:p>
        </w:tc>
        <w:tc>
          <w:tcPr>
            <w:tcW w:w="8521" w:type="dxa"/>
            <w:tcBorders>
              <w:top w:val="nil"/>
              <w:left w:val="single" w:sz="4" w:space="0" w:color="auto"/>
              <w:bottom w:val="single" w:sz="4" w:space="0" w:color="auto"/>
              <w:right w:val="single" w:sz="4" w:space="0" w:color="auto"/>
            </w:tcBorders>
            <w:shd w:val="clear" w:color="auto" w:fill="auto"/>
            <w:vAlign w:val="center"/>
            <w:hideMark/>
          </w:tcPr>
          <w:p w14:paraId="49904B0B" w14:textId="77777777" w:rsidR="00916A2D" w:rsidRPr="00916A2D" w:rsidRDefault="00914FC9" w:rsidP="00F07A18">
            <w:pPr>
              <w:jc w:val="both"/>
              <w:rPr>
                <w:rFonts w:ascii="Arial" w:hAnsi="Arial" w:cs="Arial"/>
                <w:sz w:val="20"/>
                <w:szCs w:val="20"/>
              </w:rPr>
            </w:pPr>
            <w:r w:rsidRPr="00F71B69">
              <w:rPr>
                <w:rFonts w:ascii="Arial" w:hAnsi="Arial" w:cs="Arial"/>
                <w:sz w:val="20"/>
                <w:szCs w:val="20"/>
              </w:rPr>
              <w:t>Перечисление денежных средств на счета физических лиц, в т.ч. зарегистрированных в качестве самозанятых, открытые в других банках на территории Российской Федерации</w:t>
            </w:r>
          </w:p>
          <w:p w14:paraId="2CA7588E" w14:textId="7FBC0BE5" w:rsidR="00914FC9" w:rsidRPr="00F71B69" w:rsidRDefault="00916A2D" w:rsidP="00F07A18">
            <w:pPr>
              <w:jc w:val="both"/>
              <w:rPr>
                <w:rFonts w:ascii="Arial" w:hAnsi="Arial" w:cs="Arial"/>
                <w:sz w:val="20"/>
                <w:szCs w:val="20"/>
                <w:lang w:val="en-US"/>
              </w:rPr>
            </w:pPr>
            <w:r w:rsidRPr="00916A2D">
              <w:rPr>
                <w:rFonts w:ascii="Arial" w:hAnsi="Arial" w:cs="Arial"/>
                <w:sz w:val="20"/>
                <w:szCs w:val="20"/>
                <w:lang w:val="en-US"/>
              </w:rPr>
              <w:lastRenderedPageBreak/>
              <w:t>Transfer of funds to the accounts of individuals, including those registered as self-employed, opened in other banks on the territory of the Russian Federation**</w:t>
            </w:r>
          </w:p>
        </w:tc>
        <w:tc>
          <w:tcPr>
            <w:tcW w:w="3173" w:type="dxa"/>
            <w:tcBorders>
              <w:top w:val="nil"/>
              <w:left w:val="nil"/>
              <w:bottom w:val="single" w:sz="4" w:space="0" w:color="auto"/>
              <w:right w:val="single" w:sz="4" w:space="0" w:color="auto"/>
            </w:tcBorders>
            <w:shd w:val="clear" w:color="auto" w:fill="auto"/>
            <w:vAlign w:val="center"/>
            <w:hideMark/>
          </w:tcPr>
          <w:p w14:paraId="2AFCFC5B" w14:textId="77777777" w:rsidR="00914FC9" w:rsidRPr="00F71B69" w:rsidRDefault="00914FC9" w:rsidP="00914FC9">
            <w:pPr>
              <w:rPr>
                <w:rFonts w:ascii="Arial" w:hAnsi="Arial" w:cs="Arial"/>
                <w:sz w:val="20"/>
                <w:szCs w:val="20"/>
              </w:rPr>
            </w:pPr>
            <w:r w:rsidRPr="00F71B69">
              <w:rPr>
                <w:rFonts w:ascii="Arial" w:hAnsi="Arial" w:cs="Arial"/>
                <w:sz w:val="20"/>
                <w:szCs w:val="20"/>
                <w:lang w:val="en-US"/>
              </w:rPr>
              <w:lastRenderedPageBreak/>
              <w:t xml:space="preserve"> </w:t>
            </w:r>
            <w:r w:rsidRPr="00F71B69">
              <w:rPr>
                <w:rFonts w:ascii="Arial" w:hAnsi="Arial" w:cs="Arial"/>
                <w:sz w:val="20"/>
                <w:szCs w:val="20"/>
              </w:rPr>
              <w:t>2% от суммы платежа</w:t>
            </w:r>
          </w:p>
        </w:tc>
        <w:tc>
          <w:tcPr>
            <w:tcW w:w="2225" w:type="dxa"/>
            <w:tcBorders>
              <w:top w:val="nil"/>
              <w:left w:val="nil"/>
              <w:bottom w:val="single" w:sz="4" w:space="0" w:color="auto"/>
              <w:right w:val="single" w:sz="4" w:space="0" w:color="auto"/>
            </w:tcBorders>
            <w:shd w:val="clear" w:color="auto" w:fill="auto"/>
            <w:vAlign w:val="center"/>
            <w:hideMark/>
          </w:tcPr>
          <w:p w14:paraId="4669EE73" w14:textId="77777777" w:rsidR="00914FC9" w:rsidRPr="00F71B69" w:rsidRDefault="00914FC9" w:rsidP="00914FC9">
            <w:pPr>
              <w:jc w:val="center"/>
              <w:rPr>
                <w:rFonts w:ascii="Arial" w:hAnsi="Arial" w:cs="Arial"/>
                <w:sz w:val="20"/>
                <w:szCs w:val="20"/>
              </w:rPr>
            </w:pPr>
            <w:r w:rsidRPr="00F71B69">
              <w:rPr>
                <w:rFonts w:ascii="Arial" w:hAnsi="Arial" w:cs="Arial"/>
                <w:sz w:val="20"/>
                <w:szCs w:val="20"/>
              </w:rPr>
              <w:t xml:space="preserve">55 рублей </w:t>
            </w:r>
          </w:p>
        </w:tc>
      </w:tr>
      <w:tr w:rsidR="00914FC9" w:rsidRPr="00916A2D" w14:paraId="7C5F1A84" w14:textId="77777777" w:rsidTr="00BB5F69">
        <w:trPr>
          <w:trHeight w:val="510"/>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0C09F" w14:textId="73AEC66B" w:rsidR="00914FC9" w:rsidRPr="00F71B69" w:rsidRDefault="00914FC9" w:rsidP="00914FC9">
            <w:pPr>
              <w:rPr>
                <w:rFonts w:ascii="Arial" w:hAnsi="Arial" w:cs="Arial"/>
                <w:b/>
                <w:bCs/>
                <w:sz w:val="20"/>
                <w:szCs w:val="20"/>
              </w:rPr>
            </w:pPr>
          </w:p>
        </w:tc>
        <w:tc>
          <w:tcPr>
            <w:tcW w:w="884" w:type="dxa"/>
            <w:tcBorders>
              <w:top w:val="single" w:sz="4" w:space="0" w:color="auto"/>
              <w:left w:val="nil"/>
              <w:bottom w:val="single" w:sz="4" w:space="0" w:color="auto"/>
              <w:right w:val="single" w:sz="4" w:space="0" w:color="auto"/>
            </w:tcBorders>
          </w:tcPr>
          <w:p w14:paraId="2BC0D06D" w14:textId="77E6FE18" w:rsidR="00914FC9" w:rsidRPr="00916A2D" w:rsidRDefault="00914FC9" w:rsidP="00914FC9">
            <w:pPr>
              <w:rPr>
                <w:rFonts w:ascii="Arial" w:hAnsi="Arial" w:cs="Arial"/>
                <w:b/>
                <w:bCs/>
                <w:sz w:val="20"/>
                <w:szCs w:val="20"/>
              </w:rPr>
            </w:pPr>
            <w:r w:rsidRPr="00916A2D">
              <w:rPr>
                <w:rFonts w:ascii="Arial" w:hAnsi="Arial" w:cs="Arial"/>
                <w:b/>
                <w:bCs/>
                <w:sz w:val="20"/>
                <w:szCs w:val="20"/>
              </w:rPr>
              <w:t>5.2.1.2.</w:t>
            </w:r>
          </w:p>
        </w:tc>
        <w:tc>
          <w:tcPr>
            <w:tcW w:w="8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8A3DD" w14:textId="77777777" w:rsidR="00916A2D" w:rsidRPr="00916A2D" w:rsidRDefault="00914FC9" w:rsidP="00F07A18">
            <w:pPr>
              <w:jc w:val="both"/>
              <w:rPr>
                <w:rFonts w:ascii="Arial" w:hAnsi="Arial" w:cs="Arial"/>
                <w:sz w:val="20"/>
                <w:szCs w:val="20"/>
              </w:rPr>
            </w:pPr>
            <w:r w:rsidRPr="00F71B69">
              <w:rPr>
                <w:rFonts w:ascii="Arial" w:hAnsi="Arial" w:cs="Arial"/>
                <w:sz w:val="20"/>
                <w:szCs w:val="20"/>
              </w:rPr>
              <w:t>Перечисление денежных средств на счета юридических лиц, индивидуальных предпринимателей, открытые в других банках на территории Российской Федерации</w:t>
            </w:r>
          </w:p>
          <w:p w14:paraId="0EBA65D0" w14:textId="5EE0A249" w:rsidR="00914FC9" w:rsidRPr="00F71B69" w:rsidRDefault="00916A2D" w:rsidP="00F07A18">
            <w:pPr>
              <w:jc w:val="both"/>
              <w:rPr>
                <w:rFonts w:ascii="Arial" w:hAnsi="Arial" w:cs="Arial"/>
                <w:sz w:val="20"/>
                <w:szCs w:val="20"/>
                <w:lang w:val="en-US"/>
              </w:rPr>
            </w:pPr>
            <w:r w:rsidRPr="00916A2D">
              <w:rPr>
                <w:rFonts w:ascii="Arial" w:hAnsi="Arial" w:cs="Arial"/>
                <w:sz w:val="20"/>
                <w:szCs w:val="20"/>
                <w:lang w:val="en-US"/>
              </w:rPr>
              <w:t>Transfer of funds to accounts of legal entities and individual entrepreneurs opened in other banks in the territory of the Russian Federation**</w:t>
            </w:r>
          </w:p>
        </w:tc>
        <w:tc>
          <w:tcPr>
            <w:tcW w:w="3173" w:type="dxa"/>
            <w:tcBorders>
              <w:top w:val="single" w:sz="4" w:space="0" w:color="auto"/>
              <w:left w:val="nil"/>
              <w:bottom w:val="single" w:sz="4" w:space="0" w:color="auto"/>
              <w:right w:val="single" w:sz="4" w:space="0" w:color="auto"/>
            </w:tcBorders>
            <w:shd w:val="clear" w:color="auto" w:fill="auto"/>
            <w:vAlign w:val="center"/>
            <w:hideMark/>
          </w:tcPr>
          <w:p w14:paraId="1FE08C12" w14:textId="77777777" w:rsidR="00914FC9" w:rsidRPr="00F71B69" w:rsidRDefault="00914FC9" w:rsidP="00914FC9">
            <w:pPr>
              <w:rPr>
                <w:rFonts w:ascii="Arial" w:hAnsi="Arial" w:cs="Arial"/>
                <w:sz w:val="20"/>
                <w:szCs w:val="20"/>
              </w:rPr>
            </w:pPr>
            <w:r w:rsidRPr="00F71B69">
              <w:rPr>
                <w:rFonts w:ascii="Arial" w:hAnsi="Arial" w:cs="Arial"/>
                <w:sz w:val="20"/>
                <w:szCs w:val="20"/>
                <w:lang w:val="en-US"/>
              </w:rPr>
              <w:t xml:space="preserve"> </w:t>
            </w:r>
            <w:r w:rsidRPr="00F71B69">
              <w:rPr>
                <w:rFonts w:ascii="Arial" w:hAnsi="Arial" w:cs="Arial"/>
                <w:sz w:val="20"/>
                <w:szCs w:val="20"/>
              </w:rPr>
              <w:t>50 рублей за один расчетный документ</w:t>
            </w:r>
          </w:p>
        </w:tc>
        <w:tc>
          <w:tcPr>
            <w:tcW w:w="2225" w:type="dxa"/>
            <w:tcBorders>
              <w:top w:val="single" w:sz="4" w:space="0" w:color="auto"/>
              <w:left w:val="nil"/>
              <w:bottom w:val="single" w:sz="4" w:space="0" w:color="auto"/>
              <w:right w:val="single" w:sz="4" w:space="0" w:color="auto"/>
            </w:tcBorders>
            <w:shd w:val="clear" w:color="auto" w:fill="auto"/>
            <w:noWrap/>
            <w:vAlign w:val="bottom"/>
            <w:hideMark/>
          </w:tcPr>
          <w:p w14:paraId="046A482A" w14:textId="77777777" w:rsidR="00914FC9" w:rsidRPr="00F71B69" w:rsidRDefault="00914FC9" w:rsidP="00914FC9">
            <w:pPr>
              <w:rPr>
                <w:rFonts w:ascii="Arial" w:hAnsi="Arial" w:cs="Arial"/>
                <w:sz w:val="20"/>
                <w:szCs w:val="20"/>
              </w:rPr>
            </w:pPr>
            <w:r w:rsidRPr="00F71B69">
              <w:rPr>
                <w:rFonts w:ascii="Arial" w:hAnsi="Arial" w:cs="Arial"/>
                <w:sz w:val="20"/>
                <w:szCs w:val="20"/>
              </w:rPr>
              <w:t> </w:t>
            </w:r>
          </w:p>
        </w:tc>
      </w:tr>
      <w:tr w:rsidR="003259E9" w:rsidRPr="00916A2D" w14:paraId="5BDC9781" w14:textId="77777777" w:rsidTr="00862DC1">
        <w:trPr>
          <w:trHeight w:val="51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14:paraId="6789410C" w14:textId="77777777" w:rsidR="003259E9" w:rsidRPr="00F71B69" w:rsidRDefault="003259E9" w:rsidP="003259E9">
            <w:pPr>
              <w:rPr>
                <w:rFonts w:ascii="Arial" w:hAnsi="Arial" w:cs="Arial"/>
                <w:b/>
                <w:bCs/>
                <w:sz w:val="20"/>
                <w:szCs w:val="20"/>
              </w:rPr>
            </w:pPr>
            <w:r w:rsidRPr="00F71B69">
              <w:rPr>
                <w:rFonts w:ascii="Arial" w:hAnsi="Arial" w:cs="Arial"/>
                <w:b/>
                <w:bCs/>
                <w:sz w:val="20"/>
                <w:szCs w:val="20"/>
              </w:rPr>
              <w:t> </w:t>
            </w:r>
          </w:p>
        </w:tc>
        <w:tc>
          <w:tcPr>
            <w:tcW w:w="884" w:type="dxa"/>
            <w:tcBorders>
              <w:top w:val="single" w:sz="4" w:space="0" w:color="auto"/>
              <w:left w:val="nil"/>
              <w:bottom w:val="single" w:sz="4" w:space="0" w:color="auto"/>
              <w:right w:val="single" w:sz="4" w:space="0" w:color="auto"/>
            </w:tcBorders>
          </w:tcPr>
          <w:p w14:paraId="2B68F719" w14:textId="0D2F6D4D" w:rsidR="003259E9" w:rsidRPr="00916A2D" w:rsidRDefault="003259E9" w:rsidP="003259E9">
            <w:pPr>
              <w:rPr>
                <w:rFonts w:ascii="Arial" w:hAnsi="Arial" w:cs="Arial"/>
                <w:b/>
                <w:bCs/>
                <w:sz w:val="20"/>
                <w:szCs w:val="20"/>
              </w:rPr>
            </w:pPr>
            <w:r w:rsidRPr="00916A2D">
              <w:rPr>
                <w:rFonts w:ascii="Arial" w:hAnsi="Arial" w:cs="Arial"/>
                <w:b/>
                <w:bCs/>
                <w:sz w:val="20"/>
                <w:szCs w:val="20"/>
              </w:rPr>
              <w:t>5.2.2.</w:t>
            </w:r>
          </w:p>
        </w:tc>
        <w:tc>
          <w:tcPr>
            <w:tcW w:w="8521" w:type="dxa"/>
            <w:tcBorders>
              <w:top w:val="nil"/>
              <w:left w:val="single" w:sz="4" w:space="0" w:color="auto"/>
              <w:bottom w:val="single" w:sz="4" w:space="0" w:color="auto"/>
              <w:right w:val="single" w:sz="4" w:space="0" w:color="auto"/>
            </w:tcBorders>
            <w:shd w:val="clear" w:color="auto" w:fill="auto"/>
            <w:hideMark/>
          </w:tcPr>
          <w:p w14:paraId="11E01F97" w14:textId="77777777" w:rsidR="00916A2D" w:rsidRPr="00916A2D" w:rsidRDefault="003259E9" w:rsidP="00F07A18">
            <w:pPr>
              <w:jc w:val="both"/>
              <w:rPr>
                <w:rFonts w:ascii="Arial" w:hAnsi="Arial" w:cs="Arial"/>
                <w:sz w:val="20"/>
                <w:szCs w:val="20"/>
              </w:rPr>
            </w:pPr>
            <w:r w:rsidRPr="00F71B69">
              <w:rPr>
                <w:rFonts w:ascii="Arial" w:hAnsi="Arial" w:cs="Arial"/>
                <w:sz w:val="20"/>
                <w:szCs w:val="20"/>
              </w:rPr>
              <w:t>Поступивших на бумажных носителях</w:t>
            </w:r>
          </w:p>
          <w:p w14:paraId="17915662" w14:textId="50C504D9" w:rsidR="003259E9" w:rsidRPr="00F71B69" w:rsidRDefault="00916A2D" w:rsidP="00F07A18">
            <w:pPr>
              <w:jc w:val="both"/>
              <w:rPr>
                <w:rFonts w:ascii="Arial" w:hAnsi="Arial" w:cs="Arial"/>
                <w:sz w:val="20"/>
                <w:szCs w:val="20"/>
              </w:rPr>
            </w:pPr>
            <w:proofErr w:type="spellStart"/>
            <w:r w:rsidRPr="00916A2D">
              <w:rPr>
                <w:rFonts w:ascii="Arial" w:hAnsi="Arial" w:cs="Arial"/>
                <w:sz w:val="20"/>
                <w:szCs w:val="20"/>
              </w:rPr>
              <w:t>Received</w:t>
            </w:r>
            <w:proofErr w:type="spellEnd"/>
            <w:r w:rsidRPr="00916A2D">
              <w:rPr>
                <w:rFonts w:ascii="Arial" w:hAnsi="Arial" w:cs="Arial"/>
                <w:sz w:val="20"/>
                <w:szCs w:val="20"/>
              </w:rPr>
              <w:t xml:space="preserve"> </w:t>
            </w:r>
            <w:proofErr w:type="spellStart"/>
            <w:r w:rsidRPr="00916A2D">
              <w:rPr>
                <w:rFonts w:ascii="Arial" w:hAnsi="Arial" w:cs="Arial"/>
                <w:sz w:val="20"/>
                <w:szCs w:val="20"/>
              </w:rPr>
              <w:t>on</w:t>
            </w:r>
            <w:proofErr w:type="spellEnd"/>
            <w:r w:rsidRPr="00916A2D">
              <w:rPr>
                <w:rFonts w:ascii="Arial" w:hAnsi="Arial" w:cs="Arial"/>
                <w:sz w:val="20"/>
                <w:szCs w:val="20"/>
              </w:rPr>
              <w:t xml:space="preserve"> </w:t>
            </w:r>
            <w:proofErr w:type="spellStart"/>
            <w:r w:rsidRPr="00916A2D">
              <w:rPr>
                <w:rFonts w:ascii="Arial" w:hAnsi="Arial" w:cs="Arial"/>
                <w:sz w:val="20"/>
                <w:szCs w:val="20"/>
              </w:rPr>
              <w:t>paper</w:t>
            </w:r>
            <w:proofErr w:type="spellEnd"/>
            <w:r w:rsidRPr="00916A2D">
              <w:rPr>
                <w:rFonts w:ascii="Arial" w:hAnsi="Arial" w:cs="Arial"/>
                <w:sz w:val="20"/>
                <w:szCs w:val="20"/>
              </w:rPr>
              <w:t>*</w:t>
            </w:r>
          </w:p>
        </w:tc>
        <w:tc>
          <w:tcPr>
            <w:tcW w:w="3173" w:type="dxa"/>
            <w:tcBorders>
              <w:top w:val="nil"/>
              <w:left w:val="nil"/>
              <w:bottom w:val="single" w:sz="4" w:space="0" w:color="auto"/>
              <w:right w:val="single" w:sz="4" w:space="0" w:color="auto"/>
            </w:tcBorders>
            <w:shd w:val="clear" w:color="auto" w:fill="auto"/>
          </w:tcPr>
          <w:p w14:paraId="3DABAC18" w14:textId="3F44EDB4" w:rsidR="003259E9" w:rsidRPr="00F71B69" w:rsidRDefault="003259E9" w:rsidP="003259E9">
            <w:pPr>
              <w:rPr>
                <w:rFonts w:ascii="Arial" w:hAnsi="Arial" w:cs="Arial"/>
                <w:sz w:val="20"/>
                <w:szCs w:val="20"/>
              </w:rPr>
            </w:pPr>
            <w:r w:rsidRPr="00F71B69">
              <w:rPr>
                <w:rFonts w:ascii="Arial" w:hAnsi="Arial" w:cs="Arial"/>
                <w:sz w:val="20"/>
                <w:szCs w:val="20"/>
              </w:rPr>
              <w:t>500 руб. за каждый расчетный документ</w:t>
            </w:r>
          </w:p>
        </w:tc>
        <w:tc>
          <w:tcPr>
            <w:tcW w:w="2225" w:type="dxa"/>
            <w:tcBorders>
              <w:top w:val="nil"/>
              <w:left w:val="nil"/>
              <w:bottom w:val="single" w:sz="4" w:space="0" w:color="auto"/>
              <w:right w:val="single" w:sz="4" w:space="0" w:color="auto"/>
            </w:tcBorders>
            <w:shd w:val="clear" w:color="auto" w:fill="auto"/>
            <w:vAlign w:val="center"/>
            <w:hideMark/>
          </w:tcPr>
          <w:p w14:paraId="7DF5DAEC" w14:textId="77777777" w:rsidR="003259E9" w:rsidRPr="00F71B69" w:rsidRDefault="003259E9" w:rsidP="003259E9">
            <w:pPr>
              <w:jc w:val="center"/>
              <w:rPr>
                <w:rFonts w:ascii="Arial" w:hAnsi="Arial" w:cs="Arial"/>
                <w:sz w:val="20"/>
                <w:szCs w:val="20"/>
              </w:rPr>
            </w:pPr>
            <w:r w:rsidRPr="00F71B69">
              <w:rPr>
                <w:rFonts w:ascii="Arial" w:hAnsi="Arial" w:cs="Arial"/>
                <w:sz w:val="20"/>
                <w:szCs w:val="20"/>
              </w:rPr>
              <w:t> </w:t>
            </w:r>
          </w:p>
        </w:tc>
      </w:tr>
      <w:tr w:rsidR="003259E9" w:rsidRPr="00916A2D" w14:paraId="54BA9F4E" w14:textId="77777777" w:rsidTr="0054180E">
        <w:trPr>
          <w:trHeight w:val="510"/>
        </w:trPr>
        <w:tc>
          <w:tcPr>
            <w:tcW w:w="884" w:type="dxa"/>
            <w:tcBorders>
              <w:top w:val="nil"/>
              <w:left w:val="single" w:sz="4" w:space="0" w:color="auto"/>
              <w:bottom w:val="single" w:sz="4" w:space="0" w:color="auto"/>
              <w:right w:val="single" w:sz="4" w:space="0" w:color="auto"/>
            </w:tcBorders>
            <w:shd w:val="clear" w:color="auto" w:fill="auto"/>
            <w:noWrap/>
            <w:vAlign w:val="bottom"/>
          </w:tcPr>
          <w:p w14:paraId="26550CB7" w14:textId="77777777" w:rsidR="003259E9" w:rsidRPr="00916A2D" w:rsidRDefault="003259E9" w:rsidP="003259E9">
            <w:pPr>
              <w:rPr>
                <w:rFonts w:ascii="Arial" w:hAnsi="Arial" w:cs="Arial"/>
                <w:b/>
                <w:bCs/>
                <w:sz w:val="20"/>
                <w:szCs w:val="20"/>
              </w:rPr>
            </w:pPr>
          </w:p>
        </w:tc>
        <w:tc>
          <w:tcPr>
            <w:tcW w:w="884" w:type="dxa"/>
            <w:tcBorders>
              <w:top w:val="single" w:sz="4" w:space="0" w:color="auto"/>
              <w:left w:val="nil"/>
              <w:bottom w:val="single" w:sz="4" w:space="0" w:color="auto"/>
              <w:right w:val="single" w:sz="4" w:space="0" w:color="auto"/>
            </w:tcBorders>
          </w:tcPr>
          <w:p w14:paraId="27D58433" w14:textId="01358462" w:rsidR="003259E9" w:rsidRPr="00916A2D" w:rsidRDefault="003259E9" w:rsidP="003259E9">
            <w:pPr>
              <w:rPr>
                <w:rFonts w:ascii="Arial" w:hAnsi="Arial" w:cs="Arial"/>
                <w:b/>
                <w:bCs/>
                <w:sz w:val="20"/>
                <w:szCs w:val="20"/>
              </w:rPr>
            </w:pPr>
            <w:r w:rsidRPr="00916A2D">
              <w:rPr>
                <w:rFonts w:ascii="Arial" w:hAnsi="Arial" w:cs="Arial"/>
                <w:b/>
                <w:bCs/>
                <w:sz w:val="20"/>
                <w:szCs w:val="20"/>
              </w:rPr>
              <w:t>5.2.3.</w:t>
            </w:r>
          </w:p>
        </w:tc>
        <w:tc>
          <w:tcPr>
            <w:tcW w:w="8521" w:type="dxa"/>
            <w:tcBorders>
              <w:top w:val="nil"/>
              <w:left w:val="single" w:sz="4" w:space="0" w:color="auto"/>
              <w:bottom w:val="single" w:sz="4" w:space="0" w:color="auto"/>
              <w:right w:val="single" w:sz="4" w:space="0" w:color="auto"/>
            </w:tcBorders>
            <w:shd w:val="clear" w:color="auto" w:fill="auto"/>
          </w:tcPr>
          <w:p w14:paraId="7758F177" w14:textId="77777777" w:rsidR="00916A2D" w:rsidRPr="00740231" w:rsidRDefault="003259E9" w:rsidP="00F07A18">
            <w:pPr>
              <w:jc w:val="both"/>
              <w:rPr>
                <w:rFonts w:ascii="Arial" w:hAnsi="Arial" w:cs="Arial"/>
                <w:sz w:val="20"/>
                <w:szCs w:val="20"/>
                <w:lang w:val="en-US"/>
              </w:rPr>
            </w:pPr>
            <w:r w:rsidRPr="00F71B69">
              <w:rPr>
                <w:rFonts w:ascii="Arial" w:hAnsi="Arial" w:cs="Arial"/>
                <w:sz w:val="20"/>
                <w:szCs w:val="20"/>
              </w:rPr>
              <w:t>Срочный</w:t>
            </w:r>
            <w:r w:rsidRPr="00740231">
              <w:rPr>
                <w:rFonts w:ascii="Arial" w:hAnsi="Arial" w:cs="Arial"/>
                <w:sz w:val="20"/>
                <w:szCs w:val="20"/>
                <w:lang w:val="en-US"/>
              </w:rPr>
              <w:t xml:space="preserve"> </w:t>
            </w:r>
            <w:r w:rsidRPr="00F71B69">
              <w:rPr>
                <w:rFonts w:ascii="Arial" w:hAnsi="Arial" w:cs="Arial"/>
                <w:sz w:val="20"/>
                <w:szCs w:val="20"/>
              </w:rPr>
              <w:t>перевод</w:t>
            </w:r>
            <w:r w:rsidRPr="00740231">
              <w:rPr>
                <w:rFonts w:ascii="Arial" w:hAnsi="Arial" w:cs="Arial"/>
                <w:sz w:val="20"/>
                <w:szCs w:val="20"/>
                <w:lang w:val="en-US"/>
              </w:rPr>
              <w:t xml:space="preserve"> </w:t>
            </w:r>
            <w:r w:rsidRPr="00F71B69">
              <w:rPr>
                <w:rFonts w:ascii="Arial" w:hAnsi="Arial" w:cs="Arial"/>
                <w:sz w:val="20"/>
                <w:szCs w:val="20"/>
              </w:rPr>
              <w:t>в</w:t>
            </w:r>
            <w:r w:rsidRPr="00740231">
              <w:rPr>
                <w:rFonts w:ascii="Arial" w:hAnsi="Arial" w:cs="Arial"/>
                <w:sz w:val="20"/>
                <w:szCs w:val="20"/>
                <w:lang w:val="en-US"/>
              </w:rPr>
              <w:t xml:space="preserve"> </w:t>
            </w:r>
            <w:r w:rsidRPr="00F71B69">
              <w:rPr>
                <w:rFonts w:ascii="Arial" w:hAnsi="Arial" w:cs="Arial"/>
                <w:sz w:val="20"/>
                <w:szCs w:val="20"/>
              </w:rPr>
              <w:t>рублях</w:t>
            </w:r>
          </w:p>
          <w:p w14:paraId="453D6973" w14:textId="313E3D97" w:rsidR="003259E9" w:rsidRPr="00740231" w:rsidRDefault="00916A2D" w:rsidP="00F07A18">
            <w:pPr>
              <w:jc w:val="both"/>
              <w:rPr>
                <w:rFonts w:ascii="Arial" w:hAnsi="Arial" w:cs="Arial"/>
                <w:sz w:val="20"/>
                <w:szCs w:val="20"/>
                <w:lang w:val="en-US"/>
              </w:rPr>
            </w:pPr>
            <w:r w:rsidRPr="00740231">
              <w:rPr>
                <w:rFonts w:ascii="Arial" w:hAnsi="Arial" w:cs="Arial"/>
                <w:sz w:val="20"/>
                <w:szCs w:val="20"/>
                <w:lang w:val="en-US"/>
              </w:rPr>
              <w:t>Urgent transfer in rubles***</w:t>
            </w:r>
          </w:p>
        </w:tc>
        <w:tc>
          <w:tcPr>
            <w:tcW w:w="3173" w:type="dxa"/>
            <w:tcBorders>
              <w:top w:val="nil"/>
              <w:left w:val="nil"/>
              <w:bottom w:val="single" w:sz="4" w:space="0" w:color="auto"/>
              <w:right w:val="single" w:sz="4" w:space="0" w:color="auto"/>
            </w:tcBorders>
            <w:shd w:val="clear" w:color="auto" w:fill="auto"/>
            <w:vAlign w:val="center"/>
          </w:tcPr>
          <w:p w14:paraId="60034135" w14:textId="7E945D9E" w:rsidR="003259E9" w:rsidRPr="00916A2D" w:rsidRDefault="003259E9" w:rsidP="003259E9">
            <w:pPr>
              <w:rPr>
                <w:rFonts w:ascii="Arial" w:hAnsi="Arial" w:cs="Arial"/>
                <w:sz w:val="20"/>
                <w:szCs w:val="20"/>
              </w:rPr>
            </w:pPr>
            <w:r w:rsidRPr="00F71B69">
              <w:rPr>
                <w:rFonts w:ascii="Arial" w:hAnsi="Arial" w:cs="Arial"/>
                <w:sz w:val="20"/>
                <w:szCs w:val="20"/>
              </w:rPr>
              <w:t>200 руб. за каждый расчетный документ</w:t>
            </w:r>
          </w:p>
        </w:tc>
        <w:tc>
          <w:tcPr>
            <w:tcW w:w="2225" w:type="dxa"/>
            <w:tcBorders>
              <w:top w:val="nil"/>
              <w:left w:val="nil"/>
              <w:bottom w:val="single" w:sz="4" w:space="0" w:color="auto"/>
              <w:right w:val="single" w:sz="4" w:space="0" w:color="auto"/>
            </w:tcBorders>
            <w:shd w:val="clear" w:color="auto" w:fill="auto"/>
            <w:vAlign w:val="center"/>
          </w:tcPr>
          <w:p w14:paraId="77E985B0" w14:textId="77777777" w:rsidR="003259E9" w:rsidRPr="00916A2D" w:rsidRDefault="003259E9" w:rsidP="003259E9">
            <w:pPr>
              <w:jc w:val="center"/>
              <w:rPr>
                <w:rFonts w:ascii="Arial" w:hAnsi="Arial" w:cs="Arial"/>
                <w:b/>
                <w:bCs/>
                <w:sz w:val="20"/>
                <w:szCs w:val="20"/>
              </w:rPr>
            </w:pPr>
          </w:p>
        </w:tc>
      </w:tr>
      <w:tr w:rsidR="00F07A18" w:rsidRPr="00916A2D" w14:paraId="721AFE31" w14:textId="77777777" w:rsidTr="00916A2D">
        <w:trPr>
          <w:trHeight w:val="510"/>
        </w:trPr>
        <w:tc>
          <w:tcPr>
            <w:tcW w:w="88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53AB429F" w14:textId="77777777" w:rsidR="00F07A18" w:rsidRPr="00916A2D" w:rsidRDefault="00F07A18" w:rsidP="00916A2D">
            <w:pPr>
              <w:jc w:val="both"/>
              <w:rPr>
                <w:rFonts w:ascii="Arial" w:hAnsi="Arial" w:cs="Arial"/>
                <w:b/>
                <w:bCs/>
                <w:sz w:val="20"/>
                <w:szCs w:val="20"/>
                <w:lang w:val="en-US"/>
              </w:rPr>
            </w:pPr>
            <w:r w:rsidRPr="00916A2D">
              <w:rPr>
                <w:rFonts w:ascii="Arial" w:hAnsi="Arial" w:cs="Arial"/>
                <w:b/>
                <w:bCs/>
                <w:sz w:val="20"/>
                <w:szCs w:val="20"/>
                <w:lang w:val="en-US"/>
              </w:rPr>
              <w:t>6.</w:t>
            </w:r>
          </w:p>
        </w:tc>
        <w:tc>
          <w:tcPr>
            <w:tcW w:w="884" w:type="dxa"/>
            <w:tcBorders>
              <w:top w:val="single" w:sz="4" w:space="0" w:color="auto"/>
              <w:left w:val="nil"/>
              <w:bottom w:val="single" w:sz="4" w:space="0" w:color="auto"/>
              <w:right w:val="single" w:sz="4" w:space="0" w:color="auto"/>
            </w:tcBorders>
            <w:shd w:val="clear" w:color="auto" w:fill="D9D9D9" w:themeFill="background1" w:themeFillShade="D9"/>
          </w:tcPr>
          <w:p w14:paraId="6C27BA41" w14:textId="77777777" w:rsidR="00F07A18" w:rsidRPr="00916A2D" w:rsidRDefault="00F07A18" w:rsidP="00916A2D">
            <w:pPr>
              <w:jc w:val="both"/>
              <w:rPr>
                <w:rFonts w:ascii="Arial" w:hAnsi="Arial" w:cs="Arial"/>
                <w:b/>
                <w:bCs/>
                <w:sz w:val="20"/>
                <w:szCs w:val="20"/>
                <w:lang w:val="en-US"/>
              </w:rPr>
            </w:pPr>
          </w:p>
        </w:tc>
        <w:tc>
          <w:tcPr>
            <w:tcW w:w="8521" w:type="dxa"/>
            <w:tcBorders>
              <w:top w:val="nil"/>
              <w:left w:val="single" w:sz="4" w:space="0" w:color="auto"/>
              <w:bottom w:val="single" w:sz="4" w:space="0" w:color="auto"/>
              <w:right w:val="single" w:sz="4" w:space="0" w:color="auto"/>
            </w:tcBorders>
            <w:shd w:val="clear" w:color="auto" w:fill="D9D9D9" w:themeFill="background1" w:themeFillShade="D9"/>
          </w:tcPr>
          <w:p w14:paraId="36DC5009" w14:textId="77777777" w:rsidR="00F07A18" w:rsidRPr="00916A2D" w:rsidRDefault="00F07A18" w:rsidP="00916A2D">
            <w:pPr>
              <w:jc w:val="both"/>
              <w:rPr>
                <w:rFonts w:ascii="Arial" w:hAnsi="Arial" w:cs="Arial"/>
                <w:b/>
                <w:bCs/>
                <w:sz w:val="20"/>
                <w:szCs w:val="20"/>
                <w:lang w:val="en-US"/>
              </w:rPr>
            </w:pPr>
            <w:proofErr w:type="spellStart"/>
            <w:r w:rsidRPr="00916A2D">
              <w:rPr>
                <w:rFonts w:ascii="Arial" w:hAnsi="Arial" w:cs="Arial"/>
                <w:b/>
                <w:bCs/>
                <w:sz w:val="20"/>
                <w:szCs w:val="20"/>
                <w:lang w:val="en-US"/>
              </w:rPr>
              <w:t>Информационные</w:t>
            </w:r>
            <w:proofErr w:type="spellEnd"/>
            <w:r w:rsidRPr="00916A2D">
              <w:rPr>
                <w:rFonts w:ascii="Arial" w:hAnsi="Arial" w:cs="Arial"/>
                <w:b/>
                <w:bCs/>
                <w:sz w:val="20"/>
                <w:szCs w:val="20"/>
                <w:lang w:val="en-US"/>
              </w:rPr>
              <w:t xml:space="preserve"> и </w:t>
            </w:r>
            <w:proofErr w:type="spellStart"/>
            <w:r w:rsidRPr="00916A2D">
              <w:rPr>
                <w:rFonts w:ascii="Arial" w:hAnsi="Arial" w:cs="Arial"/>
                <w:b/>
                <w:bCs/>
                <w:sz w:val="20"/>
                <w:szCs w:val="20"/>
                <w:lang w:val="en-US"/>
              </w:rPr>
              <w:t>консультационные</w:t>
            </w:r>
            <w:proofErr w:type="spellEnd"/>
            <w:r w:rsidRPr="00916A2D">
              <w:rPr>
                <w:rFonts w:ascii="Arial" w:hAnsi="Arial" w:cs="Arial"/>
                <w:b/>
                <w:bCs/>
                <w:sz w:val="20"/>
                <w:szCs w:val="20"/>
                <w:lang w:val="en-US"/>
              </w:rPr>
              <w:t xml:space="preserve"> </w:t>
            </w:r>
            <w:proofErr w:type="spellStart"/>
            <w:r w:rsidRPr="00916A2D">
              <w:rPr>
                <w:rFonts w:ascii="Arial" w:hAnsi="Arial" w:cs="Arial"/>
                <w:b/>
                <w:bCs/>
                <w:sz w:val="20"/>
                <w:szCs w:val="20"/>
                <w:lang w:val="en-US"/>
              </w:rPr>
              <w:t>услуги</w:t>
            </w:r>
            <w:proofErr w:type="spellEnd"/>
          </w:p>
          <w:p w14:paraId="4B21506A" w14:textId="70FC6733" w:rsidR="00916A2D" w:rsidRPr="00916A2D" w:rsidRDefault="00916A2D" w:rsidP="00916A2D">
            <w:pPr>
              <w:jc w:val="both"/>
              <w:rPr>
                <w:rFonts w:ascii="Arial" w:hAnsi="Arial" w:cs="Arial"/>
                <w:b/>
                <w:bCs/>
                <w:sz w:val="20"/>
                <w:szCs w:val="20"/>
                <w:lang w:val="en-US"/>
              </w:rPr>
            </w:pPr>
            <w:r w:rsidRPr="00916A2D">
              <w:rPr>
                <w:rFonts w:ascii="Arial" w:hAnsi="Arial" w:cs="Arial"/>
                <w:b/>
                <w:bCs/>
                <w:sz w:val="20"/>
                <w:szCs w:val="20"/>
                <w:lang w:val="en-US"/>
              </w:rPr>
              <w:t>Information and consulting services</w:t>
            </w:r>
          </w:p>
        </w:tc>
        <w:tc>
          <w:tcPr>
            <w:tcW w:w="3173" w:type="dxa"/>
            <w:tcBorders>
              <w:top w:val="nil"/>
              <w:left w:val="nil"/>
              <w:bottom w:val="single" w:sz="4" w:space="0" w:color="auto"/>
              <w:right w:val="single" w:sz="4" w:space="0" w:color="auto"/>
            </w:tcBorders>
            <w:shd w:val="clear" w:color="auto" w:fill="D9D9D9" w:themeFill="background1" w:themeFillShade="D9"/>
            <w:vAlign w:val="center"/>
          </w:tcPr>
          <w:p w14:paraId="5816D5A3" w14:textId="77777777" w:rsidR="00F07A18" w:rsidRPr="00916A2D" w:rsidRDefault="00F07A18" w:rsidP="00916A2D">
            <w:pPr>
              <w:jc w:val="both"/>
              <w:rPr>
                <w:rFonts w:ascii="Arial" w:hAnsi="Arial" w:cs="Arial"/>
                <w:b/>
                <w:bCs/>
                <w:sz w:val="20"/>
                <w:szCs w:val="20"/>
                <w:lang w:val="en-US"/>
              </w:rPr>
            </w:pPr>
          </w:p>
        </w:tc>
        <w:tc>
          <w:tcPr>
            <w:tcW w:w="2225" w:type="dxa"/>
            <w:tcBorders>
              <w:top w:val="nil"/>
              <w:left w:val="nil"/>
              <w:bottom w:val="single" w:sz="4" w:space="0" w:color="auto"/>
              <w:right w:val="single" w:sz="4" w:space="0" w:color="auto"/>
            </w:tcBorders>
            <w:shd w:val="clear" w:color="auto" w:fill="D9D9D9" w:themeFill="background1" w:themeFillShade="D9"/>
            <w:vAlign w:val="center"/>
          </w:tcPr>
          <w:p w14:paraId="7F0EB3F7" w14:textId="77777777" w:rsidR="00F07A18" w:rsidRPr="00916A2D" w:rsidRDefault="00F07A18" w:rsidP="00916A2D">
            <w:pPr>
              <w:jc w:val="both"/>
              <w:rPr>
                <w:rFonts w:ascii="Arial" w:hAnsi="Arial" w:cs="Arial"/>
                <w:b/>
                <w:bCs/>
                <w:sz w:val="20"/>
                <w:szCs w:val="20"/>
                <w:lang w:val="en-US"/>
              </w:rPr>
            </w:pPr>
          </w:p>
        </w:tc>
      </w:tr>
      <w:tr w:rsidR="00F07A18" w:rsidRPr="00916A2D" w14:paraId="7EC3C9C0" w14:textId="77777777" w:rsidTr="00F07A18">
        <w:trPr>
          <w:trHeight w:val="510"/>
        </w:trPr>
        <w:tc>
          <w:tcPr>
            <w:tcW w:w="884" w:type="dxa"/>
            <w:tcBorders>
              <w:top w:val="nil"/>
              <w:left w:val="single" w:sz="4" w:space="0" w:color="auto"/>
              <w:bottom w:val="single" w:sz="4" w:space="0" w:color="auto"/>
              <w:right w:val="single" w:sz="4" w:space="0" w:color="auto"/>
            </w:tcBorders>
            <w:shd w:val="clear" w:color="auto" w:fill="auto"/>
            <w:noWrap/>
            <w:vAlign w:val="bottom"/>
          </w:tcPr>
          <w:p w14:paraId="10969A8F" w14:textId="77777777" w:rsidR="00F07A18" w:rsidRPr="00F71B69" w:rsidRDefault="00F07A18" w:rsidP="00A4669C">
            <w:pPr>
              <w:rPr>
                <w:rFonts w:ascii="Arial" w:hAnsi="Arial" w:cs="Arial"/>
                <w:b/>
                <w:bCs/>
                <w:sz w:val="20"/>
                <w:szCs w:val="20"/>
              </w:rPr>
            </w:pPr>
          </w:p>
        </w:tc>
        <w:tc>
          <w:tcPr>
            <w:tcW w:w="884" w:type="dxa"/>
            <w:tcBorders>
              <w:top w:val="single" w:sz="4" w:space="0" w:color="auto"/>
              <w:left w:val="nil"/>
              <w:bottom w:val="single" w:sz="4" w:space="0" w:color="auto"/>
              <w:right w:val="single" w:sz="4" w:space="0" w:color="auto"/>
            </w:tcBorders>
          </w:tcPr>
          <w:p w14:paraId="7CB4240E" w14:textId="77777777" w:rsidR="00F07A18" w:rsidRPr="00916A2D" w:rsidRDefault="00F07A18" w:rsidP="00A4669C">
            <w:pPr>
              <w:rPr>
                <w:rFonts w:ascii="Arial" w:hAnsi="Arial" w:cs="Arial"/>
                <w:b/>
                <w:bCs/>
                <w:sz w:val="20"/>
                <w:szCs w:val="20"/>
              </w:rPr>
            </w:pPr>
            <w:r w:rsidRPr="00916A2D">
              <w:rPr>
                <w:rFonts w:ascii="Arial" w:hAnsi="Arial" w:cs="Arial"/>
                <w:b/>
                <w:bCs/>
                <w:sz w:val="20"/>
                <w:szCs w:val="20"/>
              </w:rPr>
              <w:t>6.1.</w:t>
            </w:r>
          </w:p>
        </w:tc>
        <w:tc>
          <w:tcPr>
            <w:tcW w:w="8521" w:type="dxa"/>
            <w:tcBorders>
              <w:top w:val="nil"/>
              <w:left w:val="single" w:sz="4" w:space="0" w:color="auto"/>
              <w:bottom w:val="single" w:sz="4" w:space="0" w:color="auto"/>
              <w:right w:val="single" w:sz="4" w:space="0" w:color="auto"/>
            </w:tcBorders>
            <w:shd w:val="clear" w:color="auto" w:fill="auto"/>
          </w:tcPr>
          <w:p w14:paraId="2D2F50D1" w14:textId="77777777" w:rsidR="00F07A18" w:rsidRPr="00916A2D" w:rsidRDefault="00F07A18" w:rsidP="00A4669C">
            <w:pPr>
              <w:jc w:val="both"/>
              <w:rPr>
                <w:rFonts w:ascii="Arial" w:hAnsi="Arial" w:cs="Arial"/>
                <w:sz w:val="20"/>
                <w:szCs w:val="20"/>
              </w:rPr>
            </w:pPr>
            <w:r w:rsidRPr="00F71B69">
              <w:rPr>
                <w:rFonts w:ascii="Arial" w:hAnsi="Arial" w:cs="Arial"/>
                <w:sz w:val="20"/>
                <w:szCs w:val="20"/>
              </w:rPr>
              <w:t>Выдача копии выписки, дубликата выписки клиенту на бумажном носителе</w:t>
            </w:r>
          </w:p>
          <w:p w14:paraId="25D83190" w14:textId="20914298" w:rsidR="00916A2D" w:rsidRPr="00F71B69" w:rsidRDefault="00916A2D" w:rsidP="00A4669C">
            <w:pPr>
              <w:jc w:val="both"/>
              <w:rPr>
                <w:rFonts w:ascii="Arial" w:hAnsi="Arial" w:cs="Arial"/>
                <w:sz w:val="20"/>
                <w:szCs w:val="20"/>
                <w:lang w:val="en-US"/>
              </w:rPr>
            </w:pPr>
            <w:r w:rsidRPr="00916A2D">
              <w:rPr>
                <w:rFonts w:ascii="Arial" w:hAnsi="Arial" w:cs="Arial"/>
                <w:sz w:val="20"/>
                <w:szCs w:val="20"/>
                <w:lang w:val="en-US"/>
              </w:rPr>
              <w:t>Issuance of a copy of the statement, a duplicate of the statement to the client on paper</w:t>
            </w:r>
          </w:p>
        </w:tc>
        <w:tc>
          <w:tcPr>
            <w:tcW w:w="3173" w:type="dxa"/>
            <w:tcBorders>
              <w:top w:val="nil"/>
              <w:left w:val="nil"/>
              <w:bottom w:val="single" w:sz="4" w:space="0" w:color="auto"/>
              <w:right w:val="single" w:sz="4" w:space="0" w:color="auto"/>
            </w:tcBorders>
            <w:shd w:val="clear" w:color="auto" w:fill="auto"/>
            <w:vAlign w:val="center"/>
          </w:tcPr>
          <w:p w14:paraId="71F21A2E" w14:textId="77777777" w:rsidR="00F07A18" w:rsidRPr="00F71B69" w:rsidRDefault="00F07A18" w:rsidP="00A4669C">
            <w:pPr>
              <w:rPr>
                <w:rFonts w:ascii="Arial" w:hAnsi="Arial" w:cs="Arial"/>
                <w:sz w:val="20"/>
                <w:szCs w:val="20"/>
              </w:rPr>
            </w:pPr>
            <w:r w:rsidRPr="00F71B69">
              <w:rPr>
                <w:rFonts w:ascii="Arial" w:hAnsi="Arial" w:cs="Arial"/>
                <w:sz w:val="20"/>
                <w:szCs w:val="20"/>
                <w:lang w:val="en-US"/>
              </w:rPr>
              <w:t xml:space="preserve"> </w:t>
            </w:r>
            <w:r w:rsidRPr="00F71B69">
              <w:rPr>
                <w:rFonts w:ascii="Arial" w:hAnsi="Arial" w:cs="Arial"/>
                <w:sz w:val="20"/>
                <w:szCs w:val="20"/>
              </w:rPr>
              <w:t>Без взимания вознаграждения</w:t>
            </w:r>
          </w:p>
        </w:tc>
        <w:tc>
          <w:tcPr>
            <w:tcW w:w="2225" w:type="dxa"/>
            <w:tcBorders>
              <w:top w:val="nil"/>
              <w:left w:val="nil"/>
              <w:bottom w:val="single" w:sz="4" w:space="0" w:color="auto"/>
              <w:right w:val="single" w:sz="4" w:space="0" w:color="auto"/>
            </w:tcBorders>
            <w:shd w:val="clear" w:color="auto" w:fill="auto"/>
            <w:vAlign w:val="center"/>
          </w:tcPr>
          <w:p w14:paraId="6FE351BE" w14:textId="77777777" w:rsidR="00F07A18" w:rsidRPr="00F71B69" w:rsidRDefault="00F07A18" w:rsidP="00F07A18">
            <w:pPr>
              <w:jc w:val="center"/>
              <w:rPr>
                <w:rFonts w:ascii="Arial" w:hAnsi="Arial" w:cs="Arial"/>
                <w:b/>
                <w:bCs/>
                <w:sz w:val="20"/>
                <w:szCs w:val="20"/>
              </w:rPr>
            </w:pPr>
            <w:r w:rsidRPr="00F71B69">
              <w:rPr>
                <w:rFonts w:ascii="Arial" w:hAnsi="Arial" w:cs="Arial"/>
                <w:b/>
                <w:bCs/>
                <w:sz w:val="20"/>
                <w:szCs w:val="20"/>
              </w:rPr>
              <w:t> </w:t>
            </w:r>
          </w:p>
        </w:tc>
      </w:tr>
      <w:tr w:rsidR="00916A2D" w:rsidRPr="00250818" w14:paraId="15FB35B7" w14:textId="77777777" w:rsidTr="00C14E86">
        <w:trPr>
          <w:trHeight w:val="510"/>
        </w:trPr>
        <w:tc>
          <w:tcPr>
            <w:tcW w:w="1768" w:type="dxa"/>
            <w:gridSpan w:val="2"/>
            <w:tcBorders>
              <w:top w:val="nil"/>
              <w:left w:val="single" w:sz="4" w:space="0" w:color="auto"/>
              <w:bottom w:val="single" w:sz="4" w:space="0" w:color="auto"/>
              <w:right w:val="single" w:sz="4" w:space="0" w:color="auto"/>
            </w:tcBorders>
            <w:shd w:val="clear" w:color="auto" w:fill="auto"/>
            <w:noWrap/>
            <w:vAlign w:val="bottom"/>
          </w:tcPr>
          <w:p w14:paraId="0A41C32B" w14:textId="3D313AC0" w:rsidR="00916A2D" w:rsidRPr="00916A2D" w:rsidRDefault="00916A2D" w:rsidP="00F07A18">
            <w:pPr>
              <w:jc w:val="both"/>
              <w:rPr>
                <w:rFonts w:ascii="Arial" w:hAnsi="Arial" w:cs="Arial"/>
                <w:b/>
                <w:bCs/>
                <w:sz w:val="20"/>
                <w:szCs w:val="20"/>
              </w:rPr>
            </w:pPr>
            <w:r w:rsidRPr="00916A2D">
              <w:rPr>
                <w:rFonts w:ascii="Arial" w:hAnsi="Arial" w:cs="Arial"/>
                <w:b/>
                <w:bCs/>
                <w:sz w:val="20"/>
                <w:szCs w:val="20"/>
              </w:rPr>
              <w:t>*Примечание к/</w:t>
            </w:r>
            <w:r w:rsidRPr="00916A2D">
              <w:rPr>
                <w:rFonts w:ascii="Arial" w:hAnsi="Arial" w:cs="Arial"/>
                <w:sz w:val="20"/>
                <w:szCs w:val="20"/>
              </w:rPr>
              <w:t xml:space="preserve"> </w:t>
            </w:r>
            <w:r w:rsidRPr="00916A2D">
              <w:rPr>
                <w:rFonts w:ascii="Arial" w:hAnsi="Arial" w:cs="Arial"/>
                <w:b/>
                <w:bCs/>
                <w:sz w:val="20"/>
                <w:szCs w:val="20"/>
              </w:rPr>
              <w:t xml:space="preserve">Note </w:t>
            </w:r>
            <w:r w:rsidRPr="00916A2D">
              <w:rPr>
                <w:rFonts w:ascii="Arial" w:hAnsi="Arial" w:cs="Arial"/>
                <w:b/>
                <w:bCs/>
                <w:sz w:val="20"/>
                <w:szCs w:val="20"/>
                <w:lang w:val="en-US"/>
              </w:rPr>
              <w:t>to</w:t>
            </w:r>
            <w:r w:rsidRPr="00916A2D">
              <w:rPr>
                <w:rFonts w:ascii="Arial" w:hAnsi="Arial" w:cs="Arial"/>
                <w:b/>
                <w:bCs/>
                <w:sz w:val="20"/>
                <w:szCs w:val="20"/>
              </w:rPr>
              <w:t xml:space="preserve"> п. 5.2.1, 5.2.2.</w:t>
            </w:r>
          </w:p>
        </w:tc>
        <w:tc>
          <w:tcPr>
            <w:tcW w:w="13919" w:type="dxa"/>
            <w:gridSpan w:val="3"/>
            <w:tcBorders>
              <w:top w:val="nil"/>
              <w:left w:val="single" w:sz="4" w:space="0" w:color="auto"/>
              <w:bottom w:val="single" w:sz="4" w:space="0" w:color="auto"/>
              <w:right w:val="single" w:sz="4" w:space="0" w:color="auto"/>
            </w:tcBorders>
            <w:shd w:val="clear" w:color="auto" w:fill="auto"/>
          </w:tcPr>
          <w:p w14:paraId="2C8C537A" w14:textId="77777777" w:rsidR="00916A2D" w:rsidRPr="00916A2D" w:rsidRDefault="00916A2D" w:rsidP="00916A2D">
            <w:pPr>
              <w:jc w:val="both"/>
              <w:rPr>
                <w:rFonts w:ascii="Arial" w:hAnsi="Arial" w:cs="Arial"/>
                <w:sz w:val="20"/>
                <w:szCs w:val="20"/>
              </w:rPr>
            </w:pPr>
            <w:r w:rsidRPr="00916A2D">
              <w:rPr>
                <w:rFonts w:ascii="Arial" w:hAnsi="Arial" w:cs="Arial"/>
                <w:sz w:val="20"/>
                <w:szCs w:val="20"/>
              </w:rPr>
              <w:t>Перевод денежных средств на сумму свыше 100 млн. руб. осуществляется с использованием сервиса срочного перевода в платежной системе Банка России вне зависимости от установленного в платежном поручении Клиента значения в поле «вид платежа» и тарифицируется в соответствии с пунктом 5.2.3 Тарифов за каждый расчетный документ.</w:t>
            </w:r>
          </w:p>
          <w:p w14:paraId="2A0B7E5B" w14:textId="1E6B35AE" w:rsidR="00916A2D" w:rsidRPr="00916A2D" w:rsidRDefault="00916A2D" w:rsidP="00916A2D">
            <w:pPr>
              <w:jc w:val="both"/>
              <w:rPr>
                <w:rFonts w:ascii="Arial" w:hAnsi="Arial" w:cs="Arial"/>
                <w:b/>
                <w:bCs/>
                <w:sz w:val="20"/>
                <w:szCs w:val="20"/>
                <w:lang w:val="en-US"/>
              </w:rPr>
            </w:pPr>
            <w:r w:rsidRPr="00916A2D">
              <w:rPr>
                <w:rFonts w:ascii="Arial" w:hAnsi="Arial" w:cs="Arial"/>
                <w:sz w:val="20"/>
                <w:szCs w:val="20"/>
                <w:lang w:val="en-US"/>
              </w:rPr>
              <w:t>The transfer of funds in the amount of over 100 million rubles is carried out using the urgent transfer service in the payment system of the Bank of Russia, regardless of the value set in the "type of payment" field in the Client's payment order and is charged in accordance with paragraph 5.2.3 Tariffs for each settlement document.</w:t>
            </w:r>
          </w:p>
        </w:tc>
      </w:tr>
      <w:tr w:rsidR="00916A2D" w:rsidRPr="00250818" w14:paraId="0EEE7DF3" w14:textId="77777777" w:rsidTr="00B6769E">
        <w:trPr>
          <w:trHeight w:val="510"/>
        </w:trPr>
        <w:tc>
          <w:tcPr>
            <w:tcW w:w="1768" w:type="dxa"/>
            <w:gridSpan w:val="2"/>
            <w:tcBorders>
              <w:top w:val="nil"/>
              <w:left w:val="single" w:sz="4" w:space="0" w:color="auto"/>
              <w:bottom w:val="single" w:sz="4" w:space="0" w:color="auto"/>
              <w:right w:val="single" w:sz="4" w:space="0" w:color="auto"/>
            </w:tcBorders>
            <w:shd w:val="clear" w:color="auto" w:fill="auto"/>
            <w:noWrap/>
            <w:vAlign w:val="bottom"/>
          </w:tcPr>
          <w:p w14:paraId="2215E11A" w14:textId="25E56A43" w:rsidR="00916A2D" w:rsidRPr="00916A2D" w:rsidRDefault="00916A2D" w:rsidP="00F07A18">
            <w:pPr>
              <w:jc w:val="both"/>
              <w:rPr>
                <w:rFonts w:ascii="Arial" w:hAnsi="Arial" w:cs="Arial"/>
                <w:b/>
                <w:bCs/>
                <w:sz w:val="20"/>
                <w:szCs w:val="20"/>
              </w:rPr>
            </w:pPr>
            <w:r w:rsidRPr="00916A2D">
              <w:rPr>
                <w:rFonts w:ascii="Arial" w:hAnsi="Arial" w:cs="Arial"/>
                <w:b/>
                <w:bCs/>
                <w:sz w:val="20"/>
                <w:szCs w:val="20"/>
              </w:rPr>
              <w:t xml:space="preserve">***Примечание к/ Note </w:t>
            </w:r>
            <w:r w:rsidRPr="00916A2D">
              <w:rPr>
                <w:rFonts w:ascii="Arial" w:hAnsi="Arial" w:cs="Arial"/>
                <w:b/>
                <w:bCs/>
                <w:sz w:val="20"/>
                <w:szCs w:val="20"/>
                <w:lang w:val="en-US"/>
              </w:rPr>
              <w:t>to</w:t>
            </w:r>
            <w:r w:rsidRPr="00916A2D">
              <w:rPr>
                <w:rFonts w:ascii="Arial" w:hAnsi="Arial" w:cs="Arial"/>
                <w:b/>
                <w:bCs/>
                <w:sz w:val="20"/>
                <w:szCs w:val="20"/>
              </w:rPr>
              <w:t xml:space="preserve"> п. 5.2.3.</w:t>
            </w:r>
          </w:p>
        </w:tc>
        <w:tc>
          <w:tcPr>
            <w:tcW w:w="13919" w:type="dxa"/>
            <w:gridSpan w:val="3"/>
            <w:tcBorders>
              <w:top w:val="nil"/>
              <w:left w:val="single" w:sz="4" w:space="0" w:color="auto"/>
              <w:bottom w:val="single" w:sz="4" w:space="0" w:color="auto"/>
              <w:right w:val="single" w:sz="4" w:space="0" w:color="auto"/>
            </w:tcBorders>
            <w:shd w:val="clear" w:color="auto" w:fill="auto"/>
          </w:tcPr>
          <w:p w14:paraId="6B6AD849" w14:textId="77777777" w:rsidR="00916A2D" w:rsidRPr="00916A2D" w:rsidRDefault="00916A2D" w:rsidP="00916A2D">
            <w:pPr>
              <w:jc w:val="both"/>
              <w:rPr>
                <w:rFonts w:ascii="Arial" w:hAnsi="Arial" w:cs="Arial"/>
                <w:sz w:val="20"/>
                <w:szCs w:val="20"/>
              </w:rPr>
            </w:pPr>
            <w:r w:rsidRPr="00916A2D">
              <w:rPr>
                <w:rFonts w:ascii="Arial" w:hAnsi="Arial" w:cs="Arial"/>
                <w:sz w:val="20"/>
                <w:szCs w:val="20"/>
              </w:rPr>
              <w:t>Перевод осуществляется Банком на основании платежного поручения Клиента, поступившего в Банк по системе дистанционного банковского обслуживания "Интернет-Клиент», в котором указано значение «срочно» в поле «вид платежа».</w:t>
            </w:r>
          </w:p>
          <w:p w14:paraId="7CF8553D" w14:textId="77777777" w:rsidR="00916A2D" w:rsidRPr="00916A2D" w:rsidRDefault="00916A2D" w:rsidP="00916A2D">
            <w:pPr>
              <w:jc w:val="both"/>
              <w:rPr>
                <w:rFonts w:ascii="Arial" w:hAnsi="Arial" w:cs="Arial"/>
                <w:sz w:val="20"/>
                <w:szCs w:val="20"/>
              </w:rPr>
            </w:pPr>
            <w:r w:rsidRPr="00916A2D">
              <w:rPr>
                <w:rFonts w:ascii="Arial" w:hAnsi="Arial" w:cs="Arial"/>
                <w:sz w:val="20"/>
                <w:szCs w:val="20"/>
              </w:rPr>
              <w:t>Перевод денежных средств осуществляется при наличии возможности у Банка. В случае невозможности исполнения платежного поручения с использованием сервиса срочного перевода в платежной системе Банка России, Банк осуществляет платеж через платежную систему Банка России с использованием сервиса несрочного перевода (в соответствии с пунктами 5.2.1).</w:t>
            </w:r>
          </w:p>
          <w:p w14:paraId="5DEAF494" w14:textId="6D2361D0" w:rsidR="00916A2D" w:rsidRPr="00916A2D" w:rsidRDefault="00916A2D" w:rsidP="00916A2D">
            <w:pPr>
              <w:jc w:val="both"/>
              <w:rPr>
                <w:rFonts w:ascii="Arial" w:hAnsi="Arial" w:cs="Arial"/>
                <w:sz w:val="20"/>
                <w:szCs w:val="20"/>
                <w:lang w:val="en-US"/>
              </w:rPr>
            </w:pPr>
            <w:r w:rsidRPr="00916A2D">
              <w:rPr>
                <w:rFonts w:ascii="Arial" w:hAnsi="Arial" w:cs="Arial"/>
                <w:sz w:val="20"/>
                <w:szCs w:val="20"/>
                <w:lang w:val="en-US"/>
              </w:rPr>
              <w:t xml:space="preserve">The transfer is carried out by the Bank on the basis of the </w:t>
            </w:r>
            <w:r w:rsidR="00A724D2" w:rsidRPr="00A724D2">
              <w:rPr>
                <w:rFonts w:ascii="Arial" w:hAnsi="Arial" w:cs="Arial"/>
                <w:sz w:val="20"/>
                <w:szCs w:val="20"/>
                <w:lang w:val="en-US"/>
              </w:rPr>
              <w:t>Client</w:t>
            </w:r>
            <w:r w:rsidRPr="00916A2D">
              <w:rPr>
                <w:rFonts w:ascii="Arial" w:hAnsi="Arial" w:cs="Arial"/>
                <w:sz w:val="20"/>
                <w:szCs w:val="20"/>
                <w:lang w:val="en-US"/>
              </w:rPr>
              <w:t>'s payment order received by the Bank via the Internet Client remote banking system, which specifies the value "urgent" in the "type of payment" field.</w:t>
            </w:r>
          </w:p>
          <w:p w14:paraId="474A781B" w14:textId="19B5AF81" w:rsidR="00916A2D" w:rsidRPr="00916A2D" w:rsidRDefault="00916A2D" w:rsidP="00916A2D">
            <w:pPr>
              <w:jc w:val="both"/>
              <w:rPr>
                <w:rFonts w:ascii="Arial" w:hAnsi="Arial" w:cs="Arial"/>
                <w:b/>
                <w:bCs/>
                <w:sz w:val="20"/>
                <w:szCs w:val="20"/>
                <w:lang w:val="en-US"/>
              </w:rPr>
            </w:pPr>
            <w:r w:rsidRPr="00916A2D">
              <w:rPr>
                <w:rFonts w:ascii="Arial" w:hAnsi="Arial" w:cs="Arial"/>
                <w:sz w:val="20"/>
                <w:szCs w:val="20"/>
                <w:lang w:val="en-US"/>
              </w:rPr>
              <w:t>The transfer of funds is carried out if the Bank has the opportunity. If it is impossible to execute a payment order using the urgent transfer service in the payment system of the Bank of Russia, the Bank makes a payment through the payment system of the Bank of Russia using the non-urgent transfer service (in accordance with paragraphs 5.2.1).</w:t>
            </w:r>
          </w:p>
        </w:tc>
      </w:tr>
      <w:tr w:rsidR="00916A2D" w:rsidRPr="00250818" w14:paraId="78678E77" w14:textId="77777777" w:rsidTr="000B573B">
        <w:trPr>
          <w:trHeight w:val="510"/>
        </w:trPr>
        <w:tc>
          <w:tcPr>
            <w:tcW w:w="1768" w:type="dxa"/>
            <w:gridSpan w:val="2"/>
            <w:tcBorders>
              <w:top w:val="nil"/>
              <w:left w:val="single" w:sz="4" w:space="0" w:color="auto"/>
              <w:bottom w:val="single" w:sz="4" w:space="0" w:color="auto"/>
              <w:right w:val="single" w:sz="4" w:space="0" w:color="auto"/>
            </w:tcBorders>
            <w:shd w:val="clear" w:color="auto" w:fill="auto"/>
            <w:noWrap/>
            <w:vAlign w:val="bottom"/>
          </w:tcPr>
          <w:p w14:paraId="5A7A68D3" w14:textId="2889DE3D" w:rsidR="00916A2D" w:rsidRPr="00916A2D" w:rsidRDefault="00916A2D" w:rsidP="00F07A18">
            <w:pPr>
              <w:jc w:val="both"/>
              <w:rPr>
                <w:rFonts w:ascii="Arial" w:hAnsi="Arial" w:cs="Arial"/>
                <w:b/>
                <w:bCs/>
                <w:sz w:val="20"/>
                <w:szCs w:val="20"/>
              </w:rPr>
            </w:pPr>
            <w:r w:rsidRPr="00F71B69">
              <w:rPr>
                <w:rFonts w:ascii="Arial" w:hAnsi="Arial" w:cs="Arial"/>
                <w:b/>
                <w:bCs/>
                <w:sz w:val="20"/>
                <w:szCs w:val="20"/>
                <w:lang w:val="en-US"/>
              </w:rPr>
              <w:t> </w:t>
            </w:r>
            <w:r w:rsidRPr="00916A2D">
              <w:rPr>
                <w:rFonts w:ascii="Arial" w:hAnsi="Arial" w:cs="Arial"/>
                <w:b/>
                <w:bCs/>
                <w:sz w:val="20"/>
                <w:szCs w:val="20"/>
              </w:rPr>
              <w:t xml:space="preserve">**Примечание к/ Note </w:t>
            </w:r>
            <w:r w:rsidRPr="00916A2D">
              <w:rPr>
                <w:rFonts w:ascii="Arial" w:hAnsi="Arial" w:cs="Arial"/>
                <w:b/>
                <w:bCs/>
                <w:sz w:val="20"/>
                <w:szCs w:val="20"/>
                <w:lang w:val="en-US"/>
              </w:rPr>
              <w:t>to</w:t>
            </w:r>
            <w:r w:rsidRPr="00916A2D">
              <w:rPr>
                <w:rFonts w:ascii="Arial" w:hAnsi="Arial" w:cs="Arial"/>
                <w:b/>
                <w:bCs/>
                <w:sz w:val="20"/>
                <w:szCs w:val="20"/>
              </w:rPr>
              <w:t xml:space="preserve"> п. 5.2.1.1., 5.2.1.2</w:t>
            </w:r>
          </w:p>
        </w:tc>
        <w:tc>
          <w:tcPr>
            <w:tcW w:w="13919" w:type="dxa"/>
            <w:gridSpan w:val="3"/>
            <w:tcBorders>
              <w:top w:val="nil"/>
              <w:left w:val="single" w:sz="4" w:space="0" w:color="auto"/>
              <w:bottom w:val="single" w:sz="4" w:space="0" w:color="auto"/>
              <w:right w:val="single" w:sz="4" w:space="0" w:color="auto"/>
            </w:tcBorders>
            <w:shd w:val="clear" w:color="auto" w:fill="auto"/>
          </w:tcPr>
          <w:p w14:paraId="47B13EA3" w14:textId="77777777" w:rsidR="00916A2D" w:rsidRPr="00916A2D" w:rsidRDefault="00916A2D" w:rsidP="00916A2D">
            <w:pPr>
              <w:jc w:val="both"/>
              <w:rPr>
                <w:rFonts w:ascii="Arial" w:hAnsi="Arial" w:cs="Arial"/>
                <w:sz w:val="20"/>
                <w:szCs w:val="20"/>
              </w:rPr>
            </w:pPr>
            <w:r w:rsidRPr="00F71B69">
              <w:rPr>
                <w:rFonts w:ascii="Arial" w:hAnsi="Arial" w:cs="Arial"/>
                <w:sz w:val="20"/>
                <w:szCs w:val="20"/>
              </w:rPr>
              <w:t>В случае указания значение «срочно» в поле «вид платежа» применяется дополнительно тариф за срочный перевод</w:t>
            </w:r>
            <w:r w:rsidRPr="00916A2D">
              <w:rPr>
                <w:rFonts w:ascii="Arial" w:hAnsi="Arial" w:cs="Arial"/>
                <w:sz w:val="20"/>
                <w:szCs w:val="20"/>
              </w:rPr>
              <w:t>.</w:t>
            </w:r>
          </w:p>
          <w:p w14:paraId="56E70995" w14:textId="75BCC269" w:rsidR="00916A2D" w:rsidRPr="00916A2D" w:rsidRDefault="00916A2D" w:rsidP="00916A2D">
            <w:pPr>
              <w:jc w:val="both"/>
              <w:rPr>
                <w:rFonts w:ascii="Arial" w:hAnsi="Arial" w:cs="Arial"/>
                <w:b/>
                <w:bCs/>
                <w:sz w:val="20"/>
                <w:szCs w:val="20"/>
                <w:lang w:val="en-US"/>
              </w:rPr>
            </w:pPr>
            <w:r w:rsidRPr="00916A2D">
              <w:rPr>
                <w:rFonts w:ascii="Arial" w:hAnsi="Arial" w:cs="Arial"/>
                <w:sz w:val="20"/>
                <w:szCs w:val="20"/>
                <w:lang w:val="en-US"/>
              </w:rPr>
              <w:t>If the value "urgent" is specified in the "type of payment" field, an additional tariff for an urgent transfer is applied.</w:t>
            </w:r>
          </w:p>
        </w:tc>
      </w:tr>
    </w:tbl>
    <w:p w14:paraId="666A0F29" w14:textId="77777777" w:rsidR="00CF778D" w:rsidRPr="00250818" w:rsidRDefault="00CF778D" w:rsidP="00740231">
      <w:pPr>
        <w:rPr>
          <w:rFonts w:cstheme="minorHAnsi"/>
          <w:sz w:val="20"/>
          <w:szCs w:val="20"/>
          <w:lang w:val="en-US"/>
        </w:rPr>
      </w:pPr>
    </w:p>
    <w:sectPr w:rsidR="00CF778D" w:rsidRPr="00250818" w:rsidSect="00740231">
      <w:headerReference w:type="default" r:id="rId8"/>
      <w:headerReference w:type="first" r:id="rId9"/>
      <w:footerReference w:type="first" r:id="rId10"/>
      <w:pgSz w:w="16838" w:h="11906" w:orient="landscape"/>
      <w:pgMar w:top="142" w:right="476" w:bottom="0" w:left="61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DDC77" w14:textId="77777777" w:rsidR="00F00689" w:rsidRDefault="00F00689" w:rsidP="00424243">
      <w:r>
        <w:separator/>
      </w:r>
    </w:p>
  </w:endnote>
  <w:endnote w:type="continuationSeparator" w:id="0">
    <w:p w14:paraId="68113485" w14:textId="77777777" w:rsidR="00F00689" w:rsidRDefault="00F00689" w:rsidP="00424243">
      <w:r>
        <w:continuationSeparator/>
      </w:r>
    </w:p>
  </w:endnote>
  <w:endnote w:type="continuationNotice" w:id="1">
    <w:p w14:paraId="09ED1C8F" w14:textId="77777777" w:rsidR="00F00689" w:rsidRDefault="00F00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BACF" w14:textId="77777777" w:rsidR="006D55C8" w:rsidRDefault="006D55C8" w:rsidP="007015F2">
    <w:pPr>
      <w:pStyle w:val="afb"/>
      <w:tabs>
        <w:tab w:val="clear" w:pos="4677"/>
        <w:tab w:val="clear" w:pos="9355"/>
        <w:tab w:val="left" w:pos="3920"/>
      </w:tabs>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6D55C8" w14:paraId="36656B08" w14:textId="77777777" w:rsidTr="00052D56">
      <w:tc>
        <w:tcPr>
          <w:tcW w:w="4955" w:type="dxa"/>
        </w:tcPr>
        <w:p w14:paraId="3F9D7DDA" w14:textId="77777777" w:rsidR="006D55C8" w:rsidRDefault="006D55C8" w:rsidP="007015F2">
          <w:pPr>
            <w:pStyle w:val="afb"/>
            <w:jc w:val="center"/>
          </w:pPr>
        </w:p>
      </w:tc>
      <w:tc>
        <w:tcPr>
          <w:tcW w:w="4956" w:type="dxa"/>
        </w:tcPr>
        <w:p w14:paraId="17F1E831" w14:textId="77777777" w:rsidR="006D55C8" w:rsidRDefault="006D55C8" w:rsidP="007015F2">
          <w:pPr>
            <w:pStyle w:val="afb"/>
            <w:jc w:val="center"/>
          </w:pPr>
        </w:p>
      </w:tc>
    </w:tr>
  </w:tbl>
  <w:p w14:paraId="6BC7D377" w14:textId="77777777" w:rsidR="006D55C8" w:rsidRDefault="006D55C8" w:rsidP="007015F2">
    <w:pPr>
      <w:pStyle w:val="afb"/>
      <w:tabs>
        <w:tab w:val="clear" w:pos="4677"/>
        <w:tab w:val="clear" w:pos="9355"/>
        <w:tab w:val="left" w:pos="39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01C38" w14:textId="77777777" w:rsidR="00F00689" w:rsidRDefault="00F00689" w:rsidP="00424243">
      <w:r>
        <w:separator/>
      </w:r>
    </w:p>
  </w:footnote>
  <w:footnote w:type="continuationSeparator" w:id="0">
    <w:p w14:paraId="636CD200" w14:textId="77777777" w:rsidR="00F00689" w:rsidRDefault="00F00689" w:rsidP="00424243">
      <w:r>
        <w:continuationSeparator/>
      </w:r>
    </w:p>
  </w:footnote>
  <w:footnote w:type="continuationNotice" w:id="1">
    <w:p w14:paraId="6E9C88D9" w14:textId="77777777" w:rsidR="00F00689" w:rsidRDefault="00F006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8DF4F" w14:textId="3EEDCB7E" w:rsidR="006D55C8" w:rsidRDefault="006D55C8">
    <w:pPr>
      <w:pStyle w:val="af9"/>
      <w:jc w:val="center"/>
    </w:pPr>
  </w:p>
  <w:p w14:paraId="5BBBB9E8" w14:textId="77777777" w:rsidR="006D55C8" w:rsidRDefault="006D55C8">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171464"/>
      <w:docPartObj>
        <w:docPartGallery w:val="Page Numbers (Top of Page)"/>
        <w:docPartUnique/>
      </w:docPartObj>
    </w:sdtPr>
    <w:sdtContent>
      <w:p w14:paraId="33188EEF" w14:textId="77777777" w:rsidR="006D55C8" w:rsidRDefault="006D55C8">
        <w:pPr>
          <w:pStyle w:val="af9"/>
          <w:jc w:val="center"/>
        </w:pPr>
        <w:r>
          <w:fldChar w:fldCharType="begin"/>
        </w:r>
        <w:r>
          <w:instrText>PAGE   \* MERGEFORMAT</w:instrText>
        </w:r>
        <w:r>
          <w:fldChar w:fldCharType="separate"/>
        </w:r>
        <w:r>
          <w:t>2</w:t>
        </w:r>
        <w:r>
          <w:fldChar w:fldCharType="end"/>
        </w:r>
      </w:p>
    </w:sdtContent>
  </w:sdt>
  <w:p w14:paraId="50302E88" w14:textId="77777777" w:rsidR="006D55C8" w:rsidRPr="00773BD1" w:rsidRDefault="006D55C8" w:rsidP="00773BD1">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100AA1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866102A"/>
    <w:multiLevelType w:val="multilevel"/>
    <w:tmpl w:val="AC223F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1C0267D"/>
    <w:multiLevelType w:val="multilevel"/>
    <w:tmpl w:val="8646CC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9E034E9"/>
    <w:multiLevelType w:val="multilevel"/>
    <w:tmpl w:val="BE5C7C0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CA725F"/>
    <w:multiLevelType w:val="multilevel"/>
    <w:tmpl w:val="F2ECF87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66472283">
    <w:abstractNumId w:val="0"/>
  </w:num>
  <w:num w:numId="2" w16cid:durableId="2017492594">
    <w:abstractNumId w:val="3"/>
  </w:num>
  <w:num w:numId="3" w16cid:durableId="1726174349">
    <w:abstractNumId w:val="2"/>
  </w:num>
  <w:num w:numId="4" w16cid:durableId="1889296849">
    <w:abstractNumId w:val="4"/>
  </w:num>
  <w:num w:numId="5" w16cid:durableId="575673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6F"/>
    <w:rsid w:val="00010891"/>
    <w:rsid w:val="00010C60"/>
    <w:rsid w:val="00021AE9"/>
    <w:rsid w:val="00034A56"/>
    <w:rsid w:val="00042073"/>
    <w:rsid w:val="000423D9"/>
    <w:rsid w:val="00044EFC"/>
    <w:rsid w:val="00045F59"/>
    <w:rsid w:val="00047A9E"/>
    <w:rsid w:val="000527A2"/>
    <w:rsid w:val="00057742"/>
    <w:rsid w:val="00062C42"/>
    <w:rsid w:val="00070687"/>
    <w:rsid w:val="00080FBA"/>
    <w:rsid w:val="000824D9"/>
    <w:rsid w:val="0008394B"/>
    <w:rsid w:val="000A64FD"/>
    <w:rsid w:val="000A7BDD"/>
    <w:rsid w:val="000B25EA"/>
    <w:rsid w:val="000C459B"/>
    <w:rsid w:val="000D1BC9"/>
    <w:rsid w:val="000E153D"/>
    <w:rsid w:val="000E6600"/>
    <w:rsid w:val="000F768B"/>
    <w:rsid w:val="00101D0A"/>
    <w:rsid w:val="001070EA"/>
    <w:rsid w:val="00107A35"/>
    <w:rsid w:val="00114CFA"/>
    <w:rsid w:val="0011555C"/>
    <w:rsid w:val="0012096E"/>
    <w:rsid w:val="00123008"/>
    <w:rsid w:val="00130C8F"/>
    <w:rsid w:val="001337C0"/>
    <w:rsid w:val="001409E5"/>
    <w:rsid w:val="00142FE7"/>
    <w:rsid w:val="0015565E"/>
    <w:rsid w:val="00163DE3"/>
    <w:rsid w:val="0018031E"/>
    <w:rsid w:val="00181CEB"/>
    <w:rsid w:val="00193BF4"/>
    <w:rsid w:val="001A1EB4"/>
    <w:rsid w:val="001A2541"/>
    <w:rsid w:val="001C1516"/>
    <w:rsid w:val="001C1A2D"/>
    <w:rsid w:val="001C6D0C"/>
    <w:rsid w:val="001D0FAD"/>
    <w:rsid w:val="001D2B1A"/>
    <w:rsid w:val="001D36F4"/>
    <w:rsid w:val="001E38C9"/>
    <w:rsid w:val="001F09CB"/>
    <w:rsid w:val="001F39ED"/>
    <w:rsid w:val="001F45C3"/>
    <w:rsid w:val="001F677F"/>
    <w:rsid w:val="001F781A"/>
    <w:rsid w:val="002055E7"/>
    <w:rsid w:val="00206996"/>
    <w:rsid w:val="002126A4"/>
    <w:rsid w:val="00226834"/>
    <w:rsid w:val="002327B9"/>
    <w:rsid w:val="00243AAF"/>
    <w:rsid w:val="00250818"/>
    <w:rsid w:val="00253B2A"/>
    <w:rsid w:val="00255DC2"/>
    <w:rsid w:val="0026077D"/>
    <w:rsid w:val="00265718"/>
    <w:rsid w:val="00266F86"/>
    <w:rsid w:val="00271EF4"/>
    <w:rsid w:val="00275968"/>
    <w:rsid w:val="002857CD"/>
    <w:rsid w:val="00291701"/>
    <w:rsid w:val="002973F3"/>
    <w:rsid w:val="00297626"/>
    <w:rsid w:val="002A4805"/>
    <w:rsid w:val="002B4299"/>
    <w:rsid w:val="002C6512"/>
    <w:rsid w:val="002D4062"/>
    <w:rsid w:val="002D72F3"/>
    <w:rsid w:val="002F50CD"/>
    <w:rsid w:val="00303B72"/>
    <w:rsid w:val="0030792A"/>
    <w:rsid w:val="00307BCD"/>
    <w:rsid w:val="00311801"/>
    <w:rsid w:val="003125E1"/>
    <w:rsid w:val="003259E9"/>
    <w:rsid w:val="00330BEB"/>
    <w:rsid w:val="0033501A"/>
    <w:rsid w:val="003374E6"/>
    <w:rsid w:val="00342050"/>
    <w:rsid w:val="003434CB"/>
    <w:rsid w:val="0034422F"/>
    <w:rsid w:val="00345E9D"/>
    <w:rsid w:val="003522A1"/>
    <w:rsid w:val="00354644"/>
    <w:rsid w:val="00354C91"/>
    <w:rsid w:val="00356491"/>
    <w:rsid w:val="0036715D"/>
    <w:rsid w:val="003708D0"/>
    <w:rsid w:val="00387769"/>
    <w:rsid w:val="003A168A"/>
    <w:rsid w:val="003A6751"/>
    <w:rsid w:val="003C47DA"/>
    <w:rsid w:val="003D4EC7"/>
    <w:rsid w:val="003E1A5D"/>
    <w:rsid w:val="003E2A3A"/>
    <w:rsid w:val="003F0B9F"/>
    <w:rsid w:val="00402F00"/>
    <w:rsid w:val="00403725"/>
    <w:rsid w:val="004044F3"/>
    <w:rsid w:val="00410724"/>
    <w:rsid w:val="00410A61"/>
    <w:rsid w:val="004120EA"/>
    <w:rsid w:val="0041235A"/>
    <w:rsid w:val="004129DB"/>
    <w:rsid w:val="00414B52"/>
    <w:rsid w:val="004200C8"/>
    <w:rsid w:val="00424243"/>
    <w:rsid w:val="00427971"/>
    <w:rsid w:val="00434746"/>
    <w:rsid w:val="004379E4"/>
    <w:rsid w:val="004428D5"/>
    <w:rsid w:val="00443682"/>
    <w:rsid w:val="00443756"/>
    <w:rsid w:val="00451588"/>
    <w:rsid w:val="004516EF"/>
    <w:rsid w:val="0046092A"/>
    <w:rsid w:val="004650F2"/>
    <w:rsid w:val="004713AD"/>
    <w:rsid w:val="00471810"/>
    <w:rsid w:val="00476FAA"/>
    <w:rsid w:val="00477418"/>
    <w:rsid w:val="0048542E"/>
    <w:rsid w:val="00496FFA"/>
    <w:rsid w:val="004A3559"/>
    <w:rsid w:val="004B6C68"/>
    <w:rsid w:val="004D0E97"/>
    <w:rsid w:val="004D4D17"/>
    <w:rsid w:val="004F0EEE"/>
    <w:rsid w:val="004F2211"/>
    <w:rsid w:val="0050275D"/>
    <w:rsid w:val="00505A28"/>
    <w:rsid w:val="005068BF"/>
    <w:rsid w:val="00511728"/>
    <w:rsid w:val="00521166"/>
    <w:rsid w:val="005223DC"/>
    <w:rsid w:val="0052678F"/>
    <w:rsid w:val="00526C5F"/>
    <w:rsid w:val="00532F0A"/>
    <w:rsid w:val="005335FF"/>
    <w:rsid w:val="0054342F"/>
    <w:rsid w:val="00545181"/>
    <w:rsid w:val="0055213F"/>
    <w:rsid w:val="005522E6"/>
    <w:rsid w:val="005622E9"/>
    <w:rsid w:val="005716CA"/>
    <w:rsid w:val="00573002"/>
    <w:rsid w:val="00580FA6"/>
    <w:rsid w:val="00581C1A"/>
    <w:rsid w:val="00590DC9"/>
    <w:rsid w:val="0059401B"/>
    <w:rsid w:val="00596C6F"/>
    <w:rsid w:val="005A0518"/>
    <w:rsid w:val="005B6278"/>
    <w:rsid w:val="005B6D8C"/>
    <w:rsid w:val="005C7187"/>
    <w:rsid w:val="005C7CF1"/>
    <w:rsid w:val="005E3917"/>
    <w:rsid w:val="005E63BC"/>
    <w:rsid w:val="005F10D3"/>
    <w:rsid w:val="005F19E4"/>
    <w:rsid w:val="005F673B"/>
    <w:rsid w:val="00601591"/>
    <w:rsid w:val="00605821"/>
    <w:rsid w:val="0060697A"/>
    <w:rsid w:val="006116B4"/>
    <w:rsid w:val="006127E9"/>
    <w:rsid w:val="0061413F"/>
    <w:rsid w:val="00627234"/>
    <w:rsid w:val="00634A47"/>
    <w:rsid w:val="00636263"/>
    <w:rsid w:val="00642859"/>
    <w:rsid w:val="00664972"/>
    <w:rsid w:val="00665373"/>
    <w:rsid w:val="00670093"/>
    <w:rsid w:val="00676526"/>
    <w:rsid w:val="0068268D"/>
    <w:rsid w:val="0069179F"/>
    <w:rsid w:val="006956E9"/>
    <w:rsid w:val="006A1AF5"/>
    <w:rsid w:val="006A3767"/>
    <w:rsid w:val="006A3F5A"/>
    <w:rsid w:val="006A5D55"/>
    <w:rsid w:val="006A6853"/>
    <w:rsid w:val="006B65DF"/>
    <w:rsid w:val="006C258D"/>
    <w:rsid w:val="006C36A1"/>
    <w:rsid w:val="006C70E9"/>
    <w:rsid w:val="006D55C8"/>
    <w:rsid w:val="006F4B0F"/>
    <w:rsid w:val="0070010B"/>
    <w:rsid w:val="007174DD"/>
    <w:rsid w:val="0071794E"/>
    <w:rsid w:val="00717DC7"/>
    <w:rsid w:val="00717EA0"/>
    <w:rsid w:val="00720305"/>
    <w:rsid w:val="007250CC"/>
    <w:rsid w:val="0072583B"/>
    <w:rsid w:val="00725BD3"/>
    <w:rsid w:val="007313E7"/>
    <w:rsid w:val="007315A5"/>
    <w:rsid w:val="007316E0"/>
    <w:rsid w:val="00734F08"/>
    <w:rsid w:val="00740231"/>
    <w:rsid w:val="00743C6F"/>
    <w:rsid w:val="00752C74"/>
    <w:rsid w:val="00754290"/>
    <w:rsid w:val="007635AF"/>
    <w:rsid w:val="00771351"/>
    <w:rsid w:val="007718D8"/>
    <w:rsid w:val="00777315"/>
    <w:rsid w:val="007A5A0C"/>
    <w:rsid w:val="007B266B"/>
    <w:rsid w:val="007B270B"/>
    <w:rsid w:val="007B5F17"/>
    <w:rsid w:val="007D165D"/>
    <w:rsid w:val="007D196A"/>
    <w:rsid w:val="007D6ADA"/>
    <w:rsid w:val="007E1279"/>
    <w:rsid w:val="007E1338"/>
    <w:rsid w:val="007F563C"/>
    <w:rsid w:val="007F66F9"/>
    <w:rsid w:val="0080114C"/>
    <w:rsid w:val="00801194"/>
    <w:rsid w:val="008037D4"/>
    <w:rsid w:val="008049F3"/>
    <w:rsid w:val="00805416"/>
    <w:rsid w:val="008061DE"/>
    <w:rsid w:val="008078C3"/>
    <w:rsid w:val="0080791F"/>
    <w:rsid w:val="00814C5E"/>
    <w:rsid w:val="00833A98"/>
    <w:rsid w:val="00850637"/>
    <w:rsid w:val="008530A6"/>
    <w:rsid w:val="00856CF8"/>
    <w:rsid w:val="00865CD2"/>
    <w:rsid w:val="00871FF6"/>
    <w:rsid w:val="008735FD"/>
    <w:rsid w:val="00874611"/>
    <w:rsid w:val="00882187"/>
    <w:rsid w:val="0088405B"/>
    <w:rsid w:val="00890EDF"/>
    <w:rsid w:val="008B5370"/>
    <w:rsid w:val="008B7770"/>
    <w:rsid w:val="008C6E00"/>
    <w:rsid w:val="008D5349"/>
    <w:rsid w:val="008E13C5"/>
    <w:rsid w:val="008F67EC"/>
    <w:rsid w:val="00904CDE"/>
    <w:rsid w:val="009070F9"/>
    <w:rsid w:val="00907338"/>
    <w:rsid w:val="00912995"/>
    <w:rsid w:val="00914F31"/>
    <w:rsid w:val="00914FC9"/>
    <w:rsid w:val="009156B2"/>
    <w:rsid w:val="00916A2D"/>
    <w:rsid w:val="00935A1A"/>
    <w:rsid w:val="00941106"/>
    <w:rsid w:val="00951AA2"/>
    <w:rsid w:val="00952889"/>
    <w:rsid w:val="00956D22"/>
    <w:rsid w:val="00957C18"/>
    <w:rsid w:val="00957E44"/>
    <w:rsid w:val="00957F69"/>
    <w:rsid w:val="00970E54"/>
    <w:rsid w:val="00976F15"/>
    <w:rsid w:val="009912AB"/>
    <w:rsid w:val="00992404"/>
    <w:rsid w:val="009967A2"/>
    <w:rsid w:val="009A34F5"/>
    <w:rsid w:val="009A468F"/>
    <w:rsid w:val="009B05B4"/>
    <w:rsid w:val="009C49BC"/>
    <w:rsid w:val="009C4ECF"/>
    <w:rsid w:val="009D6C7E"/>
    <w:rsid w:val="009D75DA"/>
    <w:rsid w:val="009E60C5"/>
    <w:rsid w:val="009F02F9"/>
    <w:rsid w:val="009F7A66"/>
    <w:rsid w:val="00A03B30"/>
    <w:rsid w:val="00A048D9"/>
    <w:rsid w:val="00A05B20"/>
    <w:rsid w:val="00A105CB"/>
    <w:rsid w:val="00A1548F"/>
    <w:rsid w:val="00A15FAA"/>
    <w:rsid w:val="00A2250E"/>
    <w:rsid w:val="00A30B04"/>
    <w:rsid w:val="00A358FA"/>
    <w:rsid w:val="00A3694E"/>
    <w:rsid w:val="00A403B2"/>
    <w:rsid w:val="00A42635"/>
    <w:rsid w:val="00A47192"/>
    <w:rsid w:val="00A5090A"/>
    <w:rsid w:val="00A5471B"/>
    <w:rsid w:val="00A56766"/>
    <w:rsid w:val="00A611BB"/>
    <w:rsid w:val="00A705C5"/>
    <w:rsid w:val="00A724D2"/>
    <w:rsid w:val="00A74EC2"/>
    <w:rsid w:val="00A80FCA"/>
    <w:rsid w:val="00A8248F"/>
    <w:rsid w:val="00A842AB"/>
    <w:rsid w:val="00A91A11"/>
    <w:rsid w:val="00A94FC7"/>
    <w:rsid w:val="00A97365"/>
    <w:rsid w:val="00AB0902"/>
    <w:rsid w:val="00AB26C7"/>
    <w:rsid w:val="00AB6379"/>
    <w:rsid w:val="00AB6E04"/>
    <w:rsid w:val="00AC1900"/>
    <w:rsid w:val="00AC4C9C"/>
    <w:rsid w:val="00AF0F56"/>
    <w:rsid w:val="00AF3505"/>
    <w:rsid w:val="00B03F4B"/>
    <w:rsid w:val="00B06E3C"/>
    <w:rsid w:val="00B1554F"/>
    <w:rsid w:val="00B1757C"/>
    <w:rsid w:val="00B20FD5"/>
    <w:rsid w:val="00B2344A"/>
    <w:rsid w:val="00B33249"/>
    <w:rsid w:val="00B3694A"/>
    <w:rsid w:val="00B40A09"/>
    <w:rsid w:val="00B41E4C"/>
    <w:rsid w:val="00B46787"/>
    <w:rsid w:val="00B47897"/>
    <w:rsid w:val="00B522E6"/>
    <w:rsid w:val="00B574A3"/>
    <w:rsid w:val="00B60DD9"/>
    <w:rsid w:val="00B6565F"/>
    <w:rsid w:val="00B76E40"/>
    <w:rsid w:val="00B8046E"/>
    <w:rsid w:val="00B8612E"/>
    <w:rsid w:val="00BA51AF"/>
    <w:rsid w:val="00BA6609"/>
    <w:rsid w:val="00BB2694"/>
    <w:rsid w:val="00BB5F69"/>
    <w:rsid w:val="00BB7ED0"/>
    <w:rsid w:val="00BC093C"/>
    <w:rsid w:val="00BC35E8"/>
    <w:rsid w:val="00BC3FDA"/>
    <w:rsid w:val="00BC4FFA"/>
    <w:rsid w:val="00BD1698"/>
    <w:rsid w:val="00BD474F"/>
    <w:rsid w:val="00BE7B5C"/>
    <w:rsid w:val="00BF4A05"/>
    <w:rsid w:val="00C020E1"/>
    <w:rsid w:val="00C106AA"/>
    <w:rsid w:val="00C132D0"/>
    <w:rsid w:val="00C139DC"/>
    <w:rsid w:val="00C16CEE"/>
    <w:rsid w:val="00C20077"/>
    <w:rsid w:val="00C248E2"/>
    <w:rsid w:val="00C253AD"/>
    <w:rsid w:val="00C34F03"/>
    <w:rsid w:val="00C5077E"/>
    <w:rsid w:val="00C55F23"/>
    <w:rsid w:val="00C57B7D"/>
    <w:rsid w:val="00C6496C"/>
    <w:rsid w:val="00C64BA4"/>
    <w:rsid w:val="00C66124"/>
    <w:rsid w:val="00C6711F"/>
    <w:rsid w:val="00C7177B"/>
    <w:rsid w:val="00C7421B"/>
    <w:rsid w:val="00C755C6"/>
    <w:rsid w:val="00C83878"/>
    <w:rsid w:val="00C84B20"/>
    <w:rsid w:val="00C861E2"/>
    <w:rsid w:val="00C92E69"/>
    <w:rsid w:val="00C979D4"/>
    <w:rsid w:val="00CA4D07"/>
    <w:rsid w:val="00CC4D8B"/>
    <w:rsid w:val="00CD2D72"/>
    <w:rsid w:val="00CE6916"/>
    <w:rsid w:val="00CE7AAD"/>
    <w:rsid w:val="00CF4C55"/>
    <w:rsid w:val="00CF778D"/>
    <w:rsid w:val="00D011C7"/>
    <w:rsid w:val="00D139D0"/>
    <w:rsid w:val="00D24FB8"/>
    <w:rsid w:val="00D26584"/>
    <w:rsid w:val="00D265F9"/>
    <w:rsid w:val="00D305B9"/>
    <w:rsid w:val="00D33E41"/>
    <w:rsid w:val="00D34845"/>
    <w:rsid w:val="00D3796C"/>
    <w:rsid w:val="00D54F29"/>
    <w:rsid w:val="00D62842"/>
    <w:rsid w:val="00D628D7"/>
    <w:rsid w:val="00D634A7"/>
    <w:rsid w:val="00D6473E"/>
    <w:rsid w:val="00D66D7E"/>
    <w:rsid w:val="00D710D1"/>
    <w:rsid w:val="00D811F7"/>
    <w:rsid w:val="00D83E8F"/>
    <w:rsid w:val="00D86268"/>
    <w:rsid w:val="00D96289"/>
    <w:rsid w:val="00D96890"/>
    <w:rsid w:val="00DA71DF"/>
    <w:rsid w:val="00DB0303"/>
    <w:rsid w:val="00DB2915"/>
    <w:rsid w:val="00DB3DCF"/>
    <w:rsid w:val="00DC53C4"/>
    <w:rsid w:val="00DE0C44"/>
    <w:rsid w:val="00DE14CC"/>
    <w:rsid w:val="00DE4317"/>
    <w:rsid w:val="00DF3BA8"/>
    <w:rsid w:val="00DF57AA"/>
    <w:rsid w:val="00E032B6"/>
    <w:rsid w:val="00E10E55"/>
    <w:rsid w:val="00E11974"/>
    <w:rsid w:val="00E11D65"/>
    <w:rsid w:val="00E15FD8"/>
    <w:rsid w:val="00E30C94"/>
    <w:rsid w:val="00E35347"/>
    <w:rsid w:val="00E40F30"/>
    <w:rsid w:val="00E446A3"/>
    <w:rsid w:val="00E44A8D"/>
    <w:rsid w:val="00E46B24"/>
    <w:rsid w:val="00E601A4"/>
    <w:rsid w:val="00E6521C"/>
    <w:rsid w:val="00E70BC3"/>
    <w:rsid w:val="00E746D9"/>
    <w:rsid w:val="00E74C75"/>
    <w:rsid w:val="00E758FD"/>
    <w:rsid w:val="00E76C30"/>
    <w:rsid w:val="00E83138"/>
    <w:rsid w:val="00E84AD0"/>
    <w:rsid w:val="00E9121D"/>
    <w:rsid w:val="00E937BD"/>
    <w:rsid w:val="00EA123D"/>
    <w:rsid w:val="00EA495C"/>
    <w:rsid w:val="00EC617E"/>
    <w:rsid w:val="00ED5AE0"/>
    <w:rsid w:val="00ED7203"/>
    <w:rsid w:val="00EE4B32"/>
    <w:rsid w:val="00EE5864"/>
    <w:rsid w:val="00EE5DC5"/>
    <w:rsid w:val="00EF2158"/>
    <w:rsid w:val="00EF4FF3"/>
    <w:rsid w:val="00F00689"/>
    <w:rsid w:val="00F05336"/>
    <w:rsid w:val="00F07A18"/>
    <w:rsid w:val="00F13959"/>
    <w:rsid w:val="00F171DB"/>
    <w:rsid w:val="00F227B6"/>
    <w:rsid w:val="00F263E5"/>
    <w:rsid w:val="00F35823"/>
    <w:rsid w:val="00F358E1"/>
    <w:rsid w:val="00F37C99"/>
    <w:rsid w:val="00F41FA6"/>
    <w:rsid w:val="00F43A3A"/>
    <w:rsid w:val="00F445B2"/>
    <w:rsid w:val="00F53F0E"/>
    <w:rsid w:val="00F632B6"/>
    <w:rsid w:val="00F657A5"/>
    <w:rsid w:val="00F672E2"/>
    <w:rsid w:val="00F71330"/>
    <w:rsid w:val="00F71B69"/>
    <w:rsid w:val="00F74025"/>
    <w:rsid w:val="00F75952"/>
    <w:rsid w:val="00F8164C"/>
    <w:rsid w:val="00F817C8"/>
    <w:rsid w:val="00F8302B"/>
    <w:rsid w:val="00F856FA"/>
    <w:rsid w:val="00F943BF"/>
    <w:rsid w:val="00FA03C6"/>
    <w:rsid w:val="00FA102D"/>
    <w:rsid w:val="00FE1B44"/>
    <w:rsid w:val="00FE5B30"/>
    <w:rsid w:val="00FF3D93"/>
    <w:rsid w:val="047205C7"/>
    <w:rsid w:val="105890DD"/>
    <w:rsid w:val="12E15D48"/>
    <w:rsid w:val="1373D2E8"/>
    <w:rsid w:val="17B02313"/>
    <w:rsid w:val="191349C6"/>
    <w:rsid w:val="1936E24D"/>
    <w:rsid w:val="1BBC33DB"/>
    <w:rsid w:val="1C48BF79"/>
    <w:rsid w:val="1FA1DAC5"/>
    <w:rsid w:val="23F13015"/>
    <w:rsid w:val="278809AF"/>
    <w:rsid w:val="27AFDD2D"/>
    <w:rsid w:val="28A07F6D"/>
    <w:rsid w:val="2B1B9EAE"/>
    <w:rsid w:val="32600828"/>
    <w:rsid w:val="34F6A1B3"/>
    <w:rsid w:val="3A275409"/>
    <w:rsid w:val="3BB50032"/>
    <w:rsid w:val="3DBD9DA1"/>
    <w:rsid w:val="3F810C0E"/>
    <w:rsid w:val="46C76BE7"/>
    <w:rsid w:val="47169CB2"/>
    <w:rsid w:val="4924907B"/>
    <w:rsid w:val="4C56A197"/>
    <w:rsid w:val="52494613"/>
    <w:rsid w:val="534D124C"/>
    <w:rsid w:val="53C5F729"/>
    <w:rsid w:val="57E4CFAB"/>
    <w:rsid w:val="58452AEA"/>
    <w:rsid w:val="600C79A5"/>
    <w:rsid w:val="678C38D1"/>
    <w:rsid w:val="767D2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8B9"/>
  <w15:chartTrackingRefBased/>
  <w15:docId w15:val="{499F0A9E-B379-4214-B084-23505F2B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33A98"/>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952889"/>
    <w:pPr>
      <w:spacing w:after="160" w:line="259" w:lineRule="auto"/>
      <w:ind w:left="720"/>
      <w:contextualSpacing/>
    </w:pPr>
    <w:rPr>
      <w:rFonts w:asciiTheme="minorHAnsi" w:eastAsiaTheme="minorHAnsi" w:hAnsiTheme="minorHAnsi" w:cstheme="minorBidi"/>
      <w:sz w:val="22"/>
      <w:szCs w:val="22"/>
      <w:lang w:eastAsia="en-US"/>
    </w:rPr>
  </w:style>
  <w:style w:type="paragraph" w:styleId="a6">
    <w:name w:val="Balloon Text"/>
    <w:basedOn w:val="a0"/>
    <w:link w:val="a7"/>
    <w:uiPriority w:val="99"/>
    <w:semiHidden/>
    <w:unhideWhenUsed/>
    <w:rsid w:val="00BC3FDA"/>
    <w:rPr>
      <w:rFonts w:ascii="Segoe UI" w:eastAsiaTheme="minorHAnsi" w:hAnsi="Segoe UI" w:cs="Segoe UI"/>
      <w:sz w:val="18"/>
      <w:szCs w:val="18"/>
      <w:lang w:eastAsia="en-US"/>
    </w:rPr>
  </w:style>
  <w:style w:type="character" w:customStyle="1" w:styleId="a7">
    <w:name w:val="Текст выноски Знак"/>
    <w:basedOn w:val="a1"/>
    <w:link w:val="a6"/>
    <w:uiPriority w:val="99"/>
    <w:semiHidden/>
    <w:rsid w:val="00BC3FDA"/>
    <w:rPr>
      <w:rFonts w:ascii="Segoe UI" w:hAnsi="Segoe UI" w:cs="Segoe UI"/>
      <w:sz w:val="18"/>
      <w:szCs w:val="18"/>
    </w:rPr>
  </w:style>
  <w:style w:type="character" w:customStyle="1" w:styleId="a5">
    <w:name w:val="Абзац списка Знак"/>
    <w:link w:val="a4"/>
    <w:uiPriority w:val="34"/>
    <w:locked/>
    <w:rsid w:val="0048542E"/>
  </w:style>
  <w:style w:type="table" w:styleId="a8">
    <w:name w:val="Table Grid"/>
    <w:basedOn w:val="a2"/>
    <w:uiPriority w:val="39"/>
    <w:rsid w:val="0048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1"/>
    <w:uiPriority w:val="99"/>
    <w:semiHidden/>
    <w:unhideWhenUsed/>
    <w:rsid w:val="003D4EC7"/>
    <w:rPr>
      <w:sz w:val="16"/>
      <w:szCs w:val="16"/>
    </w:rPr>
  </w:style>
  <w:style w:type="paragraph" w:styleId="aa">
    <w:name w:val="annotation text"/>
    <w:basedOn w:val="a0"/>
    <w:link w:val="ab"/>
    <w:uiPriority w:val="99"/>
    <w:unhideWhenUsed/>
    <w:rsid w:val="003D4EC7"/>
    <w:pPr>
      <w:spacing w:after="160"/>
    </w:pPr>
    <w:rPr>
      <w:rFonts w:asciiTheme="minorHAnsi" w:eastAsiaTheme="minorHAnsi" w:hAnsiTheme="minorHAnsi" w:cstheme="minorBidi"/>
      <w:sz w:val="20"/>
      <w:szCs w:val="20"/>
      <w:lang w:eastAsia="en-US"/>
    </w:rPr>
  </w:style>
  <w:style w:type="character" w:customStyle="1" w:styleId="ab">
    <w:name w:val="Текст примечания Знак"/>
    <w:basedOn w:val="a1"/>
    <w:link w:val="aa"/>
    <w:uiPriority w:val="99"/>
    <w:rsid w:val="003D4EC7"/>
    <w:rPr>
      <w:sz w:val="20"/>
      <w:szCs w:val="20"/>
    </w:rPr>
  </w:style>
  <w:style w:type="paragraph" w:styleId="ac">
    <w:name w:val="annotation subject"/>
    <w:basedOn w:val="aa"/>
    <w:next w:val="aa"/>
    <w:link w:val="ad"/>
    <w:uiPriority w:val="99"/>
    <w:semiHidden/>
    <w:unhideWhenUsed/>
    <w:rsid w:val="003D4EC7"/>
    <w:rPr>
      <w:b/>
      <w:bCs/>
    </w:rPr>
  </w:style>
  <w:style w:type="character" w:customStyle="1" w:styleId="ad">
    <w:name w:val="Тема примечания Знак"/>
    <w:basedOn w:val="ab"/>
    <w:link w:val="ac"/>
    <w:uiPriority w:val="99"/>
    <w:semiHidden/>
    <w:rsid w:val="003D4EC7"/>
    <w:rPr>
      <w:b/>
      <w:bCs/>
      <w:sz w:val="20"/>
      <w:szCs w:val="20"/>
    </w:rPr>
  </w:style>
  <w:style w:type="paragraph" w:styleId="ae">
    <w:name w:val="Revision"/>
    <w:hidden/>
    <w:uiPriority w:val="99"/>
    <w:semiHidden/>
    <w:rsid w:val="00D24FB8"/>
    <w:pPr>
      <w:spacing w:after="0" w:line="240" w:lineRule="auto"/>
    </w:pPr>
  </w:style>
  <w:style w:type="paragraph" w:styleId="af">
    <w:name w:val="Normal (Web)"/>
    <w:basedOn w:val="a0"/>
    <w:uiPriority w:val="99"/>
    <w:semiHidden/>
    <w:unhideWhenUsed/>
    <w:rsid w:val="002055E7"/>
    <w:pPr>
      <w:spacing w:before="100" w:beforeAutospacing="1" w:after="100" w:afterAutospacing="1"/>
    </w:pPr>
  </w:style>
  <w:style w:type="character" w:styleId="af0">
    <w:name w:val="Strong"/>
    <w:basedOn w:val="a1"/>
    <w:uiPriority w:val="22"/>
    <w:qFormat/>
    <w:rsid w:val="002055E7"/>
    <w:rPr>
      <w:b/>
      <w:bCs/>
    </w:rPr>
  </w:style>
  <w:style w:type="character" w:customStyle="1" w:styleId="apple-converted-space">
    <w:name w:val="apple-converted-space"/>
    <w:basedOn w:val="a1"/>
    <w:rsid w:val="002055E7"/>
  </w:style>
  <w:style w:type="character" w:styleId="af1">
    <w:name w:val="Hyperlink"/>
    <w:basedOn w:val="a1"/>
    <w:uiPriority w:val="99"/>
    <w:unhideWhenUsed/>
    <w:rsid w:val="002055E7"/>
    <w:rPr>
      <w:color w:val="0563C1" w:themeColor="hyperlink"/>
      <w:u w:val="single"/>
    </w:rPr>
  </w:style>
  <w:style w:type="character" w:styleId="af2">
    <w:name w:val="Unresolved Mention"/>
    <w:basedOn w:val="a1"/>
    <w:uiPriority w:val="99"/>
    <w:semiHidden/>
    <w:unhideWhenUsed/>
    <w:rsid w:val="002055E7"/>
    <w:rPr>
      <w:color w:val="605E5C"/>
      <w:shd w:val="clear" w:color="auto" w:fill="E1DFDD"/>
    </w:rPr>
  </w:style>
  <w:style w:type="table" w:customStyle="1" w:styleId="1">
    <w:name w:val="Сетка таблицы1"/>
    <w:basedOn w:val="a2"/>
    <w:next w:val="a8"/>
    <w:uiPriority w:val="39"/>
    <w:rsid w:val="00CD2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0"/>
    <w:link w:val="af4"/>
    <w:uiPriority w:val="99"/>
    <w:semiHidden/>
    <w:unhideWhenUsed/>
    <w:rsid w:val="00424243"/>
    <w:rPr>
      <w:sz w:val="20"/>
      <w:szCs w:val="20"/>
    </w:rPr>
  </w:style>
  <w:style w:type="character" w:customStyle="1" w:styleId="af4">
    <w:name w:val="Текст концевой сноски Знак"/>
    <w:basedOn w:val="a1"/>
    <w:link w:val="af3"/>
    <w:uiPriority w:val="99"/>
    <w:semiHidden/>
    <w:rsid w:val="00424243"/>
    <w:rPr>
      <w:rFonts w:ascii="Times New Roman" w:eastAsia="Times New Roman" w:hAnsi="Times New Roman" w:cs="Times New Roman"/>
      <w:sz w:val="20"/>
      <w:szCs w:val="20"/>
      <w:lang w:eastAsia="ru-RU"/>
    </w:rPr>
  </w:style>
  <w:style w:type="character" w:styleId="af5">
    <w:name w:val="endnote reference"/>
    <w:basedOn w:val="a1"/>
    <w:uiPriority w:val="99"/>
    <w:semiHidden/>
    <w:unhideWhenUsed/>
    <w:rsid w:val="00424243"/>
    <w:rPr>
      <w:vertAlign w:val="superscript"/>
    </w:rPr>
  </w:style>
  <w:style w:type="paragraph" w:styleId="af6">
    <w:name w:val="footnote text"/>
    <w:basedOn w:val="a0"/>
    <w:link w:val="af7"/>
    <w:uiPriority w:val="99"/>
    <w:unhideWhenUsed/>
    <w:rsid w:val="00424243"/>
    <w:rPr>
      <w:sz w:val="20"/>
      <w:szCs w:val="20"/>
    </w:rPr>
  </w:style>
  <w:style w:type="character" w:customStyle="1" w:styleId="af7">
    <w:name w:val="Текст сноски Знак"/>
    <w:basedOn w:val="a1"/>
    <w:link w:val="af6"/>
    <w:uiPriority w:val="99"/>
    <w:rsid w:val="00424243"/>
    <w:rPr>
      <w:rFonts w:ascii="Times New Roman" w:eastAsia="Times New Roman" w:hAnsi="Times New Roman" w:cs="Times New Roman"/>
      <w:sz w:val="20"/>
      <w:szCs w:val="20"/>
      <w:lang w:eastAsia="ru-RU"/>
    </w:rPr>
  </w:style>
  <w:style w:type="character" w:styleId="af8">
    <w:name w:val="footnote reference"/>
    <w:basedOn w:val="a1"/>
    <w:uiPriority w:val="99"/>
    <w:semiHidden/>
    <w:unhideWhenUsed/>
    <w:rsid w:val="00424243"/>
    <w:rPr>
      <w:vertAlign w:val="superscript"/>
    </w:rPr>
  </w:style>
  <w:style w:type="table" w:customStyle="1" w:styleId="TableNormal1">
    <w:name w:val="Table Normal1"/>
    <w:uiPriority w:val="2"/>
    <w:semiHidden/>
    <w:unhideWhenUsed/>
    <w:qFormat/>
    <w:rsid w:val="006700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9">
    <w:name w:val="header"/>
    <w:basedOn w:val="a0"/>
    <w:link w:val="afa"/>
    <w:uiPriority w:val="99"/>
    <w:unhideWhenUsed/>
    <w:rsid w:val="006D55C8"/>
    <w:pPr>
      <w:tabs>
        <w:tab w:val="center" w:pos="4677"/>
        <w:tab w:val="right" w:pos="9355"/>
      </w:tabs>
    </w:pPr>
    <w:rPr>
      <w:rFonts w:asciiTheme="minorHAnsi" w:eastAsiaTheme="minorHAnsi" w:hAnsiTheme="minorHAnsi" w:cstheme="minorBidi"/>
      <w:sz w:val="22"/>
      <w:szCs w:val="22"/>
      <w:lang w:eastAsia="en-US"/>
    </w:rPr>
  </w:style>
  <w:style w:type="character" w:customStyle="1" w:styleId="afa">
    <w:name w:val="Верхний колонтитул Знак"/>
    <w:basedOn w:val="a1"/>
    <w:link w:val="af9"/>
    <w:uiPriority w:val="99"/>
    <w:rsid w:val="006D55C8"/>
  </w:style>
  <w:style w:type="paragraph" w:styleId="afb">
    <w:name w:val="footer"/>
    <w:basedOn w:val="a0"/>
    <w:link w:val="afc"/>
    <w:uiPriority w:val="99"/>
    <w:unhideWhenUsed/>
    <w:rsid w:val="006D55C8"/>
    <w:pPr>
      <w:tabs>
        <w:tab w:val="center" w:pos="4677"/>
        <w:tab w:val="right" w:pos="9355"/>
      </w:tabs>
    </w:pPr>
    <w:rPr>
      <w:rFonts w:asciiTheme="minorHAnsi" w:eastAsiaTheme="minorHAnsi" w:hAnsiTheme="minorHAnsi" w:cstheme="minorBidi"/>
      <w:sz w:val="22"/>
      <w:szCs w:val="22"/>
      <w:lang w:eastAsia="en-US"/>
    </w:rPr>
  </w:style>
  <w:style w:type="character" w:customStyle="1" w:styleId="afc">
    <w:name w:val="Нижний колонтитул Знак"/>
    <w:basedOn w:val="a1"/>
    <w:link w:val="afb"/>
    <w:uiPriority w:val="99"/>
    <w:rsid w:val="006D55C8"/>
  </w:style>
  <w:style w:type="character" w:styleId="afd">
    <w:name w:val="Placeholder Text"/>
    <w:basedOn w:val="a1"/>
    <w:uiPriority w:val="99"/>
    <w:semiHidden/>
    <w:rsid w:val="006D55C8"/>
    <w:rPr>
      <w:color w:val="808080"/>
    </w:rPr>
  </w:style>
  <w:style w:type="character" w:styleId="afe">
    <w:name w:val="FollowedHyperlink"/>
    <w:basedOn w:val="a1"/>
    <w:uiPriority w:val="99"/>
    <w:semiHidden/>
    <w:unhideWhenUsed/>
    <w:rsid w:val="003A6751"/>
    <w:rPr>
      <w:color w:val="954F72" w:themeColor="followedHyperlink"/>
      <w:u w:val="single"/>
    </w:rPr>
  </w:style>
  <w:style w:type="paragraph" w:styleId="a">
    <w:name w:val="List Bullet"/>
    <w:basedOn w:val="a0"/>
    <w:uiPriority w:val="99"/>
    <w:unhideWhenUsed/>
    <w:rsid w:val="006127E9"/>
    <w:pPr>
      <w:numPr>
        <w:numId w:val="1"/>
      </w:numPr>
      <w:contextualSpacing/>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984">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89084093">
      <w:bodyDiv w:val="1"/>
      <w:marLeft w:val="0"/>
      <w:marRight w:val="0"/>
      <w:marTop w:val="0"/>
      <w:marBottom w:val="0"/>
      <w:divBdr>
        <w:top w:val="none" w:sz="0" w:space="0" w:color="auto"/>
        <w:left w:val="none" w:sz="0" w:space="0" w:color="auto"/>
        <w:bottom w:val="none" w:sz="0" w:space="0" w:color="auto"/>
        <w:right w:val="none" w:sz="0" w:space="0" w:color="auto"/>
      </w:divBdr>
    </w:div>
    <w:div w:id="134878019">
      <w:bodyDiv w:val="1"/>
      <w:marLeft w:val="0"/>
      <w:marRight w:val="0"/>
      <w:marTop w:val="0"/>
      <w:marBottom w:val="0"/>
      <w:divBdr>
        <w:top w:val="none" w:sz="0" w:space="0" w:color="auto"/>
        <w:left w:val="none" w:sz="0" w:space="0" w:color="auto"/>
        <w:bottom w:val="none" w:sz="0" w:space="0" w:color="auto"/>
        <w:right w:val="none" w:sz="0" w:space="0" w:color="auto"/>
      </w:divBdr>
    </w:div>
    <w:div w:id="459613478">
      <w:bodyDiv w:val="1"/>
      <w:marLeft w:val="0"/>
      <w:marRight w:val="0"/>
      <w:marTop w:val="0"/>
      <w:marBottom w:val="0"/>
      <w:divBdr>
        <w:top w:val="none" w:sz="0" w:space="0" w:color="auto"/>
        <w:left w:val="none" w:sz="0" w:space="0" w:color="auto"/>
        <w:bottom w:val="none" w:sz="0" w:space="0" w:color="auto"/>
        <w:right w:val="none" w:sz="0" w:space="0" w:color="auto"/>
      </w:divBdr>
    </w:div>
    <w:div w:id="498430382">
      <w:bodyDiv w:val="1"/>
      <w:marLeft w:val="0"/>
      <w:marRight w:val="0"/>
      <w:marTop w:val="0"/>
      <w:marBottom w:val="0"/>
      <w:divBdr>
        <w:top w:val="none" w:sz="0" w:space="0" w:color="auto"/>
        <w:left w:val="none" w:sz="0" w:space="0" w:color="auto"/>
        <w:bottom w:val="none" w:sz="0" w:space="0" w:color="auto"/>
        <w:right w:val="none" w:sz="0" w:space="0" w:color="auto"/>
      </w:divBdr>
    </w:div>
    <w:div w:id="556478355">
      <w:bodyDiv w:val="1"/>
      <w:marLeft w:val="0"/>
      <w:marRight w:val="0"/>
      <w:marTop w:val="0"/>
      <w:marBottom w:val="0"/>
      <w:divBdr>
        <w:top w:val="none" w:sz="0" w:space="0" w:color="auto"/>
        <w:left w:val="none" w:sz="0" w:space="0" w:color="auto"/>
        <w:bottom w:val="none" w:sz="0" w:space="0" w:color="auto"/>
        <w:right w:val="none" w:sz="0" w:space="0" w:color="auto"/>
      </w:divBdr>
    </w:div>
    <w:div w:id="581110183">
      <w:bodyDiv w:val="1"/>
      <w:marLeft w:val="0"/>
      <w:marRight w:val="0"/>
      <w:marTop w:val="0"/>
      <w:marBottom w:val="0"/>
      <w:divBdr>
        <w:top w:val="none" w:sz="0" w:space="0" w:color="auto"/>
        <w:left w:val="none" w:sz="0" w:space="0" w:color="auto"/>
        <w:bottom w:val="none" w:sz="0" w:space="0" w:color="auto"/>
        <w:right w:val="none" w:sz="0" w:space="0" w:color="auto"/>
      </w:divBdr>
    </w:div>
    <w:div w:id="676149857">
      <w:bodyDiv w:val="1"/>
      <w:marLeft w:val="0"/>
      <w:marRight w:val="0"/>
      <w:marTop w:val="0"/>
      <w:marBottom w:val="0"/>
      <w:divBdr>
        <w:top w:val="none" w:sz="0" w:space="0" w:color="auto"/>
        <w:left w:val="none" w:sz="0" w:space="0" w:color="auto"/>
        <w:bottom w:val="none" w:sz="0" w:space="0" w:color="auto"/>
        <w:right w:val="none" w:sz="0" w:space="0" w:color="auto"/>
      </w:divBdr>
    </w:div>
    <w:div w:id="768887610">
      <w:bodyDiv w:val="1"/>
      <w:marLeft w:val="0"/>
      <w:marRight w:val="0"/>
      <w:marTop w:val="0"/>
      <w:marBottom w:val="0"/>
      <w:divBdr>
        <w:top w:val="none" w:sz="0" w:space="0" w:color="auto"/>
        <w:left w:val="none" w:sz="0" w:space="0" w:color="auto"/>
        <w:bottom w:val="none" w:sz="0" w:space="0" w:color="auto"/>
        <w:right w:val="none" w:sz="0" w:space="0" w:color="auto"/>
      </w:divBdr>
    </w:div>
    <w:div w:id="799030883">
      <w:bodyDiv w:val="1"/>
      <w:marLeft w:val="0"/>
      <w:marRight w:val="0"/>
      <w:marTop w:val="0"/>
      <w:marBottom w:val="0"/>
      <w:divBdr>
        <w:top w:val="none" w:sz="0" w:space="0" w:color="auto"/>
        <w:left w:val="none" w:sz="0" w:space="0" w:color="auto"/>
        <w:bottom w:val="none" w:sz="0" w:space="0" w:color="auto"/>
        <w:right w:val="none" w:sz="0" w:space="0" w:color="auto"/>
      </w:divBdr>
    </w:div>
    <w:div w:id="802501511">
      <w:bodyDiv w:val="1"/>
      <w:marLeft w:val="0"/>
      <w:marRight w:val="0"/>
      <w:marTop w:val="0"/>
      <w:marBottom w:val="0"/>
      <w:divBdr>
        <w:top w:val="none" w:sz="0" w:space="0" w:color="auto"/>
        <w:left w:val="none" w:sz="0" w:space="0" w:color="auto"/>
        <w:bottom w:val="none" w:sz="0" w:space="0" w:color="auto"/>
        <w:right w:val="none" w:sz="0" w:space="0" w:color="auto"/>
      </w:divBdr>
    </w:div>
    <w:div w:id="805003092">
      <w:bodyDiv w:val="1"/>
      <w:marLeft w:val="0"/>
      <w:marRight w:val="0"/>
      <w:marTop w:val="0"/>
      <w:marBottom w:val="0"/>
      <w:divBdr>
        <w:top w:val="none" w:sz="0" w:space="0" w:color="auto"/>
        <w:left w:val="none" w:sz="0" w:space="0" w:color="auto"/>
        <w:bottom w:val="none" w:sz="0" w:space="0" w:color="auto"/>
        <w:right w:val="none" w:sz="0" w:space="0" w:color="auto"/>
      </w:divBdr>
    </w:div>
    <w:div w:id="879245281">
      <w:bodyDiv w:val="1"/>
      <w:marLeft w:val="0"/>
      <w:marRight w:val="0"/>
      <w:marTop w:val="0"/>
      <w:marBottom w:val="0"/>
      <w:divBdr>
        <w:top w:val="none" w:sz="0" w:space="0" w:color="auto"/>
        <w:left w:val="none" w:sz="0" w:space="0" w:color="auto"/>
        <w:bottom w:val="none" w:sz="0" w:space="0" w:color="auto"/>
        <w:right w:val="none" w:sz="0" w:space="0" w:color="auto"/>
      </w:divBdr>
    </w:div>
    <w:div w:id="901714836">
      <w:bodyDiv w:val="1"/>
      <w:marLeft w:val="0"/>
      <w:marRight w:val="0"/>
      <w:marTop w:val="0"/>
      <w:marBottom w:val="0"/>
      <w:divBdr>
        <w:top w:val="none" w:sz="0" w:space="0" w:color="auto"/>
        <w:left w:val="none" w:sz="0" w:space="0" w:color="auto"/>
        <w:bottom w:val="none" w:sz="0" w:space="0" w:color="auto"/>
        <w:right w:val="none" w:sz="0" w:space="0" w:color="auto"/>
      </w:divBdr>
    </w:div>
    <w:div w:id="925530876">
      <w:bodyDiv w:val="1"/>
      <w:marLeft w:val="0"/>
      <w:marRight w:val="0"/>
      <w:marTop w:val="0"/>
      <w:marBottom w:val="0"/>
      <w:divBdr>
        <w:top w:val="none" w:sz="0" w:space="0" w:color="auto"/>
        <w:left w:val="none" w:sz="0" w:space="0" w:color="auto"/>
        <w:bottom w:val="none" w:sz="0" w:space="0" w:color="auto"/>
        <w:right w:val="none" w:sz="0" w:space="0" w:color="auto"/>
      </w:divBdr>
    </w:div>
    <w:div w:id="960501149">
      <w:bodyDiv w:val="1"/>
      <w:marLeft w:val="0"/>
      <w:marRight w:val="0"/>
      <w:marTop w:val="0"/>
      <w:marBottom w:val="0"/>
      <w:divBdr>
        <w:top w:val="none" w:sz="0" w:space="0" w:color="auto"/>
        <w:left w:val="none" w:sz="0" w:space="0" w:color="auto"/>
        <w:bottom w:val="none" w:sz="0" w:space="0" w:color="auto"/>
        <w:right w:val="none" w:sz="0" w:space="0" w:color="auto"/>
      </w:divBdr>
    </w:div>
    <w:div w:id="977035288">
      <w:bodyDiv w:val="1"/>
      <w:marLeft w:val="0"/>
      <w:marRight w:val="0"/>
      <w:marTop w:val="0"/>
      <w:marBottom w:val="0"/>
      <w:divBdr>
        <w:top w:val="none" w:sz="0" w:space="0" w:color="auto"/>
        <w:left w:val="none" w:sz="0" w:space="0" w:color="auto"/>
        <w:bottom w:val="none" w:sz="0" w:space="0" w:color="auto"/>
        <w:right w:val="none" w:sz="0" w:space="0" w:color="auto"/>
      </w:divBdr>
    </w:div>
    <w:div w:id="1210724596">
      <w:bodyDiv w:val="1"/>
      <w:marLeft w:val="0"/>
      <w:marRight w:val="0"/>
      <w:marTop w:val="0"/>
      <w:marBottom w:val="0"/>
      <w:divBdr>
        <w:top w:val="none" w:sz="0" w:space="0" w:color="auto"/>
        <w:left w:val="none" w:sz="0" w:space="0" w:color="auto"/>
        <w:bottom w:val="none" w:sz="0" w:space="0" w:color="auto"/>
        <w:right w:val="none" w:sz="0" w:space="0" w:color="auto"/>
      </w:divBdr>
    </w:div>
    <w:div w:id="1230455850">
      <w:bodyDiv w:val="1"/>
      <w:marLeft w:val="0"/>
      <w:marRight w:val="0"/>
      <w:marTop w:val="0"/>
      <w:marBottom w:val="0"/>
      <w:divBdr>
        <w:top w:val="none" w:sz="0" w:space="0" w:color="auto"/>
        <w:left w:val="none" w:sz="0" w:space="0" w:color="auto"/>
        <w:bottom w:val="none" w:sz="0" w:space="0" w:color="auto"/>
        <w:right w:val="none" w:sz="0" w:space="0" w:color="auto"/>
      </w:divBdr>
    </w:div>
    <w:div w:id="1243492136">
      <w:bodyDiv w:val="1"/>
      <w:marLeft w:val="0"/>
      <w:marRight w:val="0"/>
      <w:marTop w:val="0"/>
      <w:marBottom w:val="0"/>
      <w:divBdr>
        <w:top w:val="none" w:sz="0" w:space="0" w:color="auto"/>
        <w:left w:val="none" w:sz="0" w:space="0" w:color="auto"/>
        <w:bottom w:val="none" w:sz="0" w:space="0" w:color="auto"/>
        <w:right w:val="none" w:sz="0" w:space="0" w:color="auto"/>
      </w:divBdr>
    </w:div>
    <w:div w:id="1251769430">
      <w:bodyDiv w:val="1"/>
      <w:marLeft w:val="0"/>
      <w:marRight w:val="0"/>
      <w:marTop w:val="0"/>
      <w:marBottom w:val="0"/>
      <w:divBdr>
        <w:top w:val="none" w:sz="0" w:space="0" w:color="auto"/>
        <w:left w:val="none" w:sz="0" w:space="0" w:color="auto"/>
        <w:bottom w:val="none" w:sz="0" w:space="0" w:color="auto"/>
        <w:right w:val="none" w:sz="0" w:space="0" w:color="auto"/>
      </w:divBdr>
    </w:div>
    <w:div w:id="1308321868">
      <w:bodyDiv w:val="1"/>
      <w:marLeft w:val="0"/>
      <w:marRight w:val="0"/>
      <w:marTop w:val="0"/>
      <w:marBottom w:val="0"/>
      <w:divBdr>
        <w:top w:val="none" w:sz="0" w:space="0" w:color="auto"/>
        <w:left w:val="none" w:sz="0" w:space="0" w:color="auto"/>
        <w:bottom w:val="none" w:sz="0" w:space="0" w:color="auto"/>
        <w:right w:val="none" w:sz="0" w:space="0" w:color="auto"/>
      </w:divBdr>
    </w:div>
    <w:div w:id="1353799324">
      <w:bodyDiv w:val="1"/>
      <w:marLeft w:val="0"/>
      <w:marRight w:val="0"/>
      <w:marTop w:val="0"/>
      <w:marBottom w:val="0"/>
      <w:divBdr>
        <w:top w:val="none" w:sz="0" w:space="0" w:color="auto"/>
        <w:left w:val="none" w:sz="0" w:space="0" w:color="auto"/>
        <w:bottom w:val="none" w:sz="0" w:space="0" w:color="auto"/>
        <w:right w:val="none" w:sz="0" w:space="0" w:color="auto"/>
      </w:divBdr>
    </w:div>
    <w:div w:id="1412388556">
      <w:bodyDiv w:val="1"/>
      <w:marLeft w:val="0"/>
      <w:marRight w:val="0"/>
      <w:marTop w:val="0"/>
      <w:marBottom w:val="0"/>
      <w:divBdr>
        <w:top w:val="none" w:sz="0" w:space="0" w:color="auto"/>
        <w:left w:val="none" w:sz="0" w:space="0" w:color="auto"/>
        <w:bottom w:val="none" w:sz="0" w:space="0" w:color="auto"/>
        <w:right w:val="none" w:sz="0" w:space="0" w:color="auto"/>
      </w:divBdr>
    </w:div>
    <w:div w:id="1565218822">
      <w:bodyDiv w:val="1"/>
      <w:marLeft w:val="0"/>
      <w:marRight w:val="0"/>
      <w:marTop w:val="0"/>
      <w:marBottom w:val="0"/>
      <w:divBdr>
        <w:top w:val="none" w:sz="0" w:space="0" w:color="auto"/>
        <w:left w:val="none" w:sz="0" w:space="0" w:color="auto"/>
        <w:bottom w:val="none" w:sz="0" w:space="0" w:color="auto"/>
        <w:right w:val="none" w:sz="0" w:space="0" w:color="auto"/>
      </w:divBdr>
    </w:div>
    <w:div w:id="1600065232">
      <w:bodyDiv w:val="1"/>
      <w:marLeft w:val="0"/>
      <w:marRight w:val="0"/>
      <w:marTop w:val="0"/>
      <w:marBottom w:val="0"/>
      <w:divBdr>
        <w:top w:val="none" w:sz="0" w:space="0" w:color="auto"/>
        <w:left w:val="none" w:sz="0" w:space="0" w:color="auto"/>
        <w:bottom w:val="none" w:sz="0" w:space="0" w:color="auto"/>
        <w:right w:val="none" w:sz="0" w:space="0" w:color="auto"/>
      </w:divBdr>
      <w:divsChild>
        <w:div w:id="645818021">
          <w:marLeft w:val="0"/>
          <w:marRight w:val="0"/>
          <w:marTop w:val="150"/>
          <w:marBottom w:val="0"/>
          <w:divBdr>
            <w:top w:val="none" w:sz="0" w:space="0" w:color="auto"/>
            <w:left w:val="none" w:sz="0" w:space="0" w:color="auto"/>
            <w:bottom w:val="none" w:sz="0" w:space="0" w:color="auto"/>
            <w:right w:val="none" w:sz="0" w:space="0" w:color="auto"/>
          </w:divBdr>
        </w:div>
      </w:divsChild>
    </w:div>
    <w:div w:id="1814908083">
      <w:bodyDiv w:val="1"/>
      <w:marLeft w:val="0"/>
      <w:marRight w:val="0"/>
      <w:marTop w:val="0"/>
      <w:marBottom w:val="0"/>
      <w:divBdr>
        <w:top w:val="none" w:sz="0" w:space="0" w:color="auto"/>
        <w:left w:val="none" w:sz="0" w:space="0" w:color="auto"/>
        <w:bottom w:val="none" w:sz="0" w:space="0" w:color="auto"/>
        <w:right w:val="none" w:sz="0" w:space="0" w:color="auto"/>
      </w:divBdr>
    </w:div>
    <w:div w:id="1837068306">
      <w:bodyDiv w:val="1"/>
      <w:marLeft w:val="0"/>
      <w:marRight w:val="0"/>
      <w:marTop w:val="0"/>
      <w:marBottom w:val="0"/>
      <w:divBdr>
        <w:top w:val="none" w:sz="0" w:space="0" w:color="auto"/>
        <w:left w:val="none" w:sz="0" w:space="0" w:color="auto"/>
        <w:bottom w:val="none" w:sz="0" w:space="0" w:color="auto"/>
        <w:right w:val="none" w:sz="0" w:space="0" w:color="auto"/>
      </w:divBdr>
    </w:div>
    <w:div w:id="1841385659">
      <w:bodyDiv w:val="1"/>
      <w:marLeft w:val="0"/>
      <w:marRight w:val="0"/>
      <w:marTop w:val="0"/>
      <w:marBottom w:val="0"/>
      <w:divBdr>
        <w:top w:val="none" w:sz="0" w:space="0" w:color="auto"/>
        <w:left w:val="none" w:sz="0" w:space="0" w:color="auto"/>
        <w:bottom w:val="none" w:sz="0" w:space="0" w:color="auto"/>
        <w:right w:val="none" w:sz="0" w:space="0" w:color="auto"/>
      </w:divBdr>
    </w:div>
    <w:div w:id="1859807417">
      <w:bodyDiv w:val="1"/>
      <w:marLeft w:val="0"/>
      <w:marRight w:val="0"/>
      <w:marTop w:val="0"/>
      <w:marBottom w:val="0"/>
      <w:divBdr>
        <w:top w:val="none" w:sz="0" w:space="0" w:color="auto"/>
        <w:left w:val="none" w:sz="0" w:space="0" w:color="auto"/>
        <w:bottom w:val="none" w:sz="0" w:space="0" w:color="auto"/>
        <w:right w:val="none" w:sz="0" w:space="0" w:color="auto"/>
      </w:divBdr>
    </w:div>
    <w:div w:id="1902710618">
      <w:bodyDiv w:val="1"/>
      <w:marLeft w:val="0"/>
      <w:marRight w:val="0"/>
      <w:marTop w:val="0"/>
      <w:marBottom w:val="0"/>
      <w:divBdr>
        <w:top w:val="none" w:sz="0" w:space="0" w:color="auto"/>
        <w:left w:val="none" w:sz="0" w:space="0" w:color="auto"/>
        <w:bottom w:val="none" w:sz="0" w:space="0" w:color="auto"/>
        <w:right w:val="none" w:sz="0" w:space="0" w:color="auto"/>
      </w:divBdr>
    </w:div>
    <w:div w:id="2022197782">
      <w:bodyDiv w:val="1"/>
      <w:marLeft w:val="0"/>
      <w:marRight w:val="0"/>
      <w:marTop w:val="0"/>
      <w:marBottom w:val="0"/>
      <w:divBdr>
        <w:top w:val="none" w:sz="0" w:space="0" w:color="auto"/>
        <w:left w:val="none" w:sz="0" w:space="0" w:color="auto"/>
        <w:bottom w:val="none" w:sz="0" w:space="0" w:color="auto"/>
        <w:right w:val="none" w:sz="0" w:space="0" w:color="auto"/>
      </w:divBdr>
    </w:div>
    <w:div w:id="2031375794">
      <w:bodyDiv w:val="1"/>
      <w:marLeft w:val="0"/>
      <w:marRight w:val="0"/>
      <w:marTop w:val="0"/>
      <w:marBottom w:val="0"/>
      <w:divBdr>
        <w:top w:val="none" w:sz="0" w:space="0" w:color="auto"/>
        <w:left w:val="none" w:sz="0" w:space="0" w:color="auto"/>
        <w:bottom w:val="none" w:sz="0" w:space="0" w:color="auto"/>
        <w:right w:val="none" w:sz="0" w:space="0" w:color="auto"/>
      </w:divBdr>
    </w:div>
    <w:div w:id="2033340294">
      <w:bodyDiv w:val="1"/>
      <w:marLeft w:val="0"/>
      <w:marRight w:val="0"/>
      <w:marTop w:val="0"/>
      <w:marBottom w:val="0"/>
      <w:divBdr>
        <w:top w:val="none" w:sz="0" w:space="0" w:color="auto"/>
        <w:left w:val="none" w:sz="0" w:space="0" w:color="auto"/>
        <w:bottom w:val="none" w:sz="0" w:space="0" w:color="auto"/>
        <w:right w:val="none" w:sz="0" w:space="0" w:color="auto"/>
      </w:divBdr>
    </w:div>
    <w:div w:id="214279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92457-87FB-4D43-9CF6-848F59EA8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1532</Words>
  <Characters>8738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Яровой</dc:creator>
  <cp:keywords/>
  <dc:description/>
  <cp:lastModifiedBy>Мелешкина Елена</cp:lastModifiedBy>
  <cp:revision>3</cp:revision>
  <cp:lastPrinted>2022-03-31T14:08:00Z</cp:lastPrinted>
  <dcterms:created xsi:type="dcterms:W3CDTF">2024-12-25T07:15:00Z</dcterms:created>
  <dcterms:modified xsi:type="dcterms:W3CDTF">2024-12-25T07:16:00Z</dcterms:modified>
</cp:coreProperties>
</file>